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60A1A" w14:textId="40EDE8C8"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11</w:t>
      </w:r>
      <w:r w:rsidR="00EE4623">
        <w:rPr>
          <w:lang w:val="pt-BR"/>
        </w:rPr>
        <w:t>7</w:t>
      </w:r>
      <w:r w:rsidR="00704179">
        <w:rPr>
          <w:lang w:val="pt-BR"/>
        </w:rPr>
        <w:t>-</w:t>
      </w:r>
      <w:r w:rsidRPr="001907DE">
        <w:rPr>
          <w:lang w:val="pt-BR"/>
        </w:rPr>
        <w:t>e</w:t>
      </w:r>
      <w:r w:rsidRPr="001907DE">
        <w:rPr>
          <w:lang w:val="pt-BR"/>
        </w:rPr>
        <w:tab/>
      </w:r>
      <w:r w:rsidR="006201F0" w:rsidRPr="001907DE">
        <w:rPr>
          <w:sz w:val="32"/>
          <w:szCs w:val="32"/>
          <w:lang w:val="pt-BR"/>
        </w:rPr>
        <w:t>R2-</w:t>
      </w:r>
      <w:r w:rsidR="00EE4623" w:rsidRPr="003C0777">
        <w:rPr>
          <w:sz w:val="32"/>
          <w:szCs w:val="32"/>
          <w:lang w:val="pt-BR"/>
        </w:rPr>
        <w:t>22</w:t>
      </w:r>
      <w:r w:rsidR="003C0777" w:rsidRPr="003C0777">
        <w:rPr>
          <w:sz w:val="32"/>
          <w:szCs w:val="32"/>
          <w:lang w:val="pt-BR"/>
        </w:rPr>
        <w:t>03432</w:t>
      </w:r>
    </w:p>
    <w:p w14:paraId="2E3E5B97" w14:textId="2DE1F383" w:rsidR="00F512BB" w:rsidRPr="00CE0424" w:rsidRDefault="006201F0" w:rsidP="00F512BB">
      <w:pPr>
        <w:pStyle w:val="3GPPHeader"/>
      </w:pPr>
      <w:r>
        <w:t>Electronic</w:t>
      </w:r>
      <w:r w:rsidR="005E3F85">
        <w:t>al</w:t>
      </w:r>
      <w:r>
        <w:t xml:space="preserve"> meeting, </w:t>
      </w:r>
      <w:r w:rsidR="00C05D22" w:rsidRPr="00C05D22">
        <w:t>202</w:t>
      </w:r>
      <w:r w:rsidR="00704179">
        <w:t>2</w:t>
      </w:r>
      <w:r w:rsidR="00C05D22" w:rsidRPr="00C05D22">
        <w:t>-</w:t>
      </w:r>
      <w:r w:rsidR="00704179">
        <w:t>0</w:t>
      </w:r>
      <w:r w:rsidR="00EE4623">
        <w:t>2</w:t>
      </w:r>
      <w:r w:rsidR="00C05D22" w:rsidRPr="00C05D22">
        <w:t>-</w:t>
      </w:r>
      <w:r w:rsidR="00EE4623">
        <w:t>21</w:t>
      </w:r>
      <w:r w:rsidR="00C05D22" w:rsidRPr="00C05D22">
        <w:t xml:space="preserve"> - 202</w:t>
      </w:r>
      <w:r w:rsidR="00704179">
        <w:t>2</w:t>
      </w:r>
      <w:r w:rsidR="00C05D22" w:rsidRPr="00C05D22">
        <w:t>-</w:t>
      </w:r>
      <w:r w:rsidR="00704179">
        <w:t>0</w:t>
      </w:r>
      <w:r w:rsidR="00EE4623">
        <w:t>3</w:t>
      </w:r>
      <w:r w:rsidR="00C05D22" w:rsidRPr="00C05D22">
        <w:t>-</w:t>
      </w:r>
      <w:r w:rsidR="00EE4623">
        <w:t>03</w:t>
      </w:r>
    </w:p>
    <w:p w14:paraId="2BEC666A" w14:textId="77777777" w:rsidR="00E90E49" w:rsidRPr="00CE0424" w:rsidRDefault="00E90E49" w:rsidP="00357380">
      <w:pPr>
        <w:pStyle w:val="3GPPHeader"/>
      </w:pPr>
    </w:p>
    <w:p w14:paraId="2721CBB3" w14:textId="7AE55BE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F3F2A" w:rsidRPr="00AF3F2A">
        <w:rPr>
          <w:sz w:val="22"/>
          <w:szCs w:val="22"/>
        </w:rPr>
        <w:t>8.2.3</w:t>
      </w:r>
      <w:r w:rsidR="00CC4DD9">
        <w:rPr>
          <w:sz w:val="22"/>
          <w:szCs w:val="22"/>
        </w:rPr>
        <w:t>.1</w:t>
      </w:r>
      <w:r w:rsidR="00AF3F2A">
        <w:rPr>
          <w:sz w:val="22"/>
          <w:szCs w:val="22"/>
        </w:rPr>
        <w:t xml:space="preserve"> </w:t>
      </w:r>
      <w:r w:rsidR="00CC4DD9" w:rsidRPr="00CC4DD9">
        <w:rPr>
          <w:sz w:val="22"/>
          <w:szCs w:val="22"/>
        </w:rPr>
        <w:t>CPAC procedures from network perspective</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25987CB9" w:rsidR="00E90E49" w:rsidRPr="00CE0424" w:rsidRDefault="003D3C45" w:rsidP="00311702">
      <w:pPr>
        <w:pStyle w:val="3GPPHeader"/>
        <w:rPr>
          <w:sz w:val="22"/>
          <w:szCs w:val="22"/>
        </w:rPr>
      </w:pPr>
      <w:r>
        <w:rPr>
          <w:sz w:val="22"/>
          <w:szCs w:val="22"/>
        </w:rPr>
        <w:t>Title:</w:t>
      </w:r>
      <w:r w:rsidR="00E90E49" w:rsidRPr="00CE0424">
        <w:rPr>
          <w:sz w:val="22"/>
          <w:szCs w:val="22"/>
        </w:rPr>
        <w:tab/>
      </w:r>
      <w:r w:rsidR="00704179">
        <w:rPr>
          <w:sz w:val="22"/>
          <w:szCs w:val="22"/>
        </w:rPr>
        <w:t>CPAC n</w:t>
      </w:r>
      <w:r w:rsidR="005E00A2">
        <w:rPr>
          <w:sz w:val="22"/>
          <w:szCs w:val="22"/>
        </w:rPr>
        <w:t>etwork</w:t>
      </w:r>
      <w:r w:rsidR="005E00A2" w:rsidRPr="005E00A2">
        <w:rPr>
          <w:sz w:val="22"/>
          <w:szCs w:val="22"/>
        </w:rPr>
        <w:t xml:space="preserve"> procedures</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0259179B" w14:textId="12CB525D" w:rsidR="00024D61" w:rsidRDefault="009F463A" w:rsidP="00501644">
      <w:pPr>
        <w:rPr>
          <w:rFonts w:ascii="Arial" w:hAnsi="Arial" w:cs="Arial"/>
        </w:rPr>
      </w:pPr>
      <w:r w:rsidRPr="001661FA">
        <w:rPr>
          <w:rFonts w:ascii="Arial" w:hAnsi="Arial" w:cs="Arial"/>
        </w:rPr>
        <w:t xml:space="preserve">In </w:t>
      </w:r>
      <w:r w:rsidR="00BB40A7" w:rsidRPr="001661FA">
        <w:rPr>
          <w:rFonts w:ascii="Arial" w:hAnsi="Arial" w:cs="Arial"/>
        </w:rPr>
        <w:t>the previous RAN2 meetings</w:t>
      </w:r>
      <w:r w:rsidRPr="001661FA">
        <w:rPr>
          <w:rFonts w:ascii="Arial" w:hAnsi="Arial" w:cs="Arial"/>
        </w:rPr>
        <w:t xml:space="preserve">, the discussions on Conditional PSCell Addition and Change (CPAC) </w:t>
      </w:r>
      <w:r w:rsidR="00730C39" w:rsidRPr="001661FA">
        <w:rPr>
          <w:rFonts w:ascii="Arial" w:hAnsi="Arial" w:cs="Arial"/>
        </w:rPr>
        <w:t xml:space="preserve">have progressed and </w:t>
      </w:r>
      <w:r w:rsidR="00024D61" w:rsidRPr="001661FA">
        <w:rPr>
          <w:rFonts w:ascii="Arial" w:hAnsi="Arial" w:cs="Arial"/>
        </w:rPr>
        <w:t xml:space="preserve">various </w:t>
      </w:r>
      <w:r w:rsidRPr="001661FA">
        <w:rPr>
          <w:rFonts w:ascii="Arial" w:hAnsi="Arial" w:cs="Arial"/>
        </w:rPr>
        <w:t>agreements were made</w:t>
      </w:r>
      <w:r w:rsidR="00024D61" w:rsidRPr="001661FA">
        <w:rPr>
          <w:rFonts w:ascii="Arial" w:hAnsi="Arial" w:cs="Arial"/>
        </w:rPr>
        <w:t>.</w:t>
      </w:r>
    </w:p>
    <w:p w14:paraId="0644B4D2" w14:textId="3782094A" w:rsidR="00FA7B07" w:rsidRDefault="00FA7B07" w:rsidP="00FA7B07">
      <w:pPr>
        <w:rPr>
          <w:rFonts w:ascii="Arial" w:hAnsi="Arial" w:cs="Arial"/>
        </w:rPr>
      </w:pPr>
      <w:r>
        <w:rPr>
          <w:rFonts w:ascii="Arial" w:hAnsi="Arial" w:cs="Arial"/>
        </w:rPr>
        <w:t>The following agreements for CPAC were reached at the RAN2#116bis-e meeting:</w:t>
      </w:r>
    </w:p>
    <w:p w14:paraId="1F219119" w14:textId="77777777" w:rsidR="00FA7B07" w:rsidRPr="000F30FB" w:rsidRDefault="00FA7B07" w:rsidP="00FA7B07">
      <w:pPr>
        <w:pStyle w:val="Doc-text2"/>
        <w:ind w:left="647"/>
      </w:pPr>
      <w:r w:rsidRPr="00EC623D">
        <w:rPr>
          <w:i/>
          <w:iCs/>
          <w:u w:val="single"/>
        </w:rPr>
        <w:t>SN-initiated CPC</w:t>
      </w:r>
    </w:p>
    <w:p w14:paraId="65C82A58" w14:textId="77777777" w:rsidR="00FA7B07" w:rsidRPr="00EC623D" w:rsidRDefault="00FA7B07" w:rsidP="00FA7B07">
      <w:pPr>
        <w:pStyle w:val="Agreement"/>
        <w:tabs>
          <w:tab w:val="clear" w:pos="1619"/>
          <w:tab w:val="num" w:pos="709"/>
        </w:tabs>
        <w:spacing w:line="240" w:lineRule="auto"/>
        <w:ind w:left="709" w:hanging="425"/>
      </w:pPr>
      <w:r w:rsidRPr="00EC623D">
        <w:t>1: RAN2 to confirm that in SN initiated inter-SN CPC, the S-SN is always informed about which candidates were accepted/rejected by T-SN. (15/18)</w:t>
      </w:r>
    </w:p>
    <w:p w14:paraId="4B0D6FFF" w14:textId="77777777" w:rsidR="00FA7B07" w:rsidRPr="00EC623D" w:rsidRDefault="00FA7B07" w:rsidP="00FA7B07">
      <w:pPr>
        <w:pStyle w:val="Agreement"/>
        <w:tabs>
          <w:tab w:val="clear" w:pos="1619"/>
          <w:tab w:val="num" w:pos="709"/>
        </w:tabs>
        <w:spacing w:line="240" w:lineRule="auto"/>
        <w:ind w:left="709" w:hanging="425"/>
      </w:pPr>
      <w:r w:rsidRPr="00EC623D">
        <w:t>3: It is up to RAN3 to decide the message used for indicating the accepted PSCells from MN to S-SN, before sending the RRC Reconfiguration message including the CPC configurations to the UE. (17/18)</w:t>
      </w:r>
    </w:p>
    <w:p w14:paraId="5D8E7768" w14:textId="77777777" w:rsidR="00FA7B07" w:rsidRPr="00EC623D" w:rsidRDefault="00FA7B07" w:rsidP="00FA7B07">
      <w:pPr>
        <w:pStyle w:val="Agreement"/>
        <w:tabs>
          <w:tab w:val="clear" w:pos="1619"/>
          <w:tab w:val="num" w:pos="709"/>
        </w:tabs>
        <w:spacing w:line="240" w:lineRule="auto"/>
        <w:ind w:left="709" w:hanging="425"/>
      </w:pPr>
      <w:r w:rsidRPr="00EC623D">
        <w:t>4: It is up to RAN3 to decide the message used for indicating the accepted PSCells from MN to S-SN, after sending CPC configuration to the UE (if Alt 2 in Proposal 2 is supported). (16/17)</w:t>
      </w:r>
    </w:p>
    <w:p w14:paraId="3D87AE98" w14:textId="77777777" w:rsidR="00FA7B07" w:rsidRPr="00EC623D" w:rsidRDefault="00FA7B07" w:rsidP="00FA7B07">
      <w:pPr>
        <w:pStyle w:val="Agreement"/>
        <w:tabs>
          <w:tab w:val="clear" w:pos="1619"/>
          <w:tab w:val="num" w:pos="709"/>
        </w:tabs>
        <w:spacing w:line="240" w:lineRule="auto"/>
        <w:ind w:left="709" w:hanging="425"/>
      </w:pPr>
      <w:r w:rsidRPr="00EC623D">
        <w:t>5: It is up to RAN3 to decide the message used for S-SN to provide the updated configuration. (17/18)</w:t>
      </w:r>
    </w:p>
    <w:p w14:paraId="1941C095" w14:textId="77777777" w:rsidR="00FA7B07" w:rsidRDefault="00FA7B07" w:rsidP="00FA7B07">
      <w:pPr>
        <w:pStyle w:val="Agreement"/>
        <w:tabs>
          <w:tab w:val="clear" w:pos="1619"/>
          <w:tab w:val="num" w:pos="709"/>
        </w:tabs>
        <w:spacing w:line="240" w:lineRule="auto"/>
        <w:ind w:left="709" w:hanging="425"/>
      </w:pPr>
      <w:r w:rsidRPr="00EC623D">
        <w:t>6: It is up to RAN3 to decide the message used for providing the RRCReconfigurationComplete message from MN to S-SN. (17/18)</w:t>
      </w:r>
    </w:p>
    <w:p w14:paraId="0A85D2EC" w14:textId="77777777" w:rsidR="00FA7B07" w:rsidRPr="00FA7B07" w:rsidRDefault="00FA7B07" w:rsidP="00FA7B07">
      <w:pPr>
        <w:pStyle w:val="Agreement"/>
        <w:tabs>
          <w:tab w:val="clear" w:pos="1619"/>
        </w:tabs>
        <w:spacing w:line="240" w:lineRule="auto"/>
        <w:ind w:left="284" w:firstLine="0"/>
      </w:pPr>
    </w:p>
    <w:p w14:paraId="4AF96374" w14:textId="77777777" w:rsidR="00FA7B07" w:rsidRPr="00DC74CC" w:rsidRDefault="00FA7B07" w:rsidP="00FA7B07">
      <w:pPr>
        <w:pStyle w:val="Agreement"/>
        <w:tabs>
          <w:tab w:val="clear" w:pos="1619"/>
          <w:tab w:val="num" w:pos="709"/>
        </w:tabs>
        <w:spacing w:line="240" w:lineRule="auto"/>
        <w:ind w:left="709" w:hanging="425"/>
      </w:pPr>
      <w:r>
        <w:t xml:space="preserve">RAN2 thinks that </w:t>
      </w:r>
      <w:r w:rsidRPr="00DC74CC">
        <w:t xml:space="preserve">MN is optional to indicate S-SN the candidates accepted or rejected by T-SN after receiving the SN addition acknowledge message from T-SN. And if MN skips the indication to S-SN before sending the CPC configuration to the UE, it </w:t>
      </w:r>
      <w:r w:rsidRPr="00FA7B07">
        <w:rPr>
          <w:highlight w:val="yellow"/>
        </w:rPr>
        <w:t>sends</w:t>
      </w:r>
      <w:r w:rsidRPr="00DC74CC">
        <w:t xml:space="preserve"> the indication of accepted cells by T-SN to S-SN in some later step in the procedure. </w:t>
      </w:r>
      <w:r w:rsidRPr="00FA7B07">
        <w:rPr>
          <w:highlight w:val="yellow"/>
        </w:rPr>
        <w:t>Up to RAN3 how the signalling is done efficiently</w:t>
      </w:r>
      <w:r w:rsidRPr="00FA7B07">
        <w:t>.</w:t>
      </w:r>
    </w:p>
    <w:p w14:paraId="5C692A10" w14:textId="77777777" w:rsidR="00FA7B07" w:rsidRDefault="00FA7B07" w:rsidP="00FA7B07">
      <w:pPr>
        <w:pStyle w:val="Doc-text2"/>
        <w:ind w:left="930"/>
        <w:rPr>
          <w:i/>
          <w:iCs/>
        </w:rPr>
      </w:pPr>
    </w:p>
    <w:p w14:paraId="497F883F" w14:textId="77777777" w:rsidR="00FA7B07" w:rsidRDefault="00FA7B07" w:rsidP="00FA7B07">
      <w:pPr>
        <w:pStyle w:val="Doc-title"/>
        <w:ind w:left="567"/>
      </w:pPr>
    </w:p>
    <w:p w14:paraId="3C9AA9F6" w14:textId="77777777" w:rsidR="00FA7B07" w:rsidRPr="000F30FB" w:rsidRDefault="00FA7B07" w:rsidP="00FA7B07">
      <w:pPr>
        <w:pStyle w:val="Doc-text2"/>
        <w:ind w:left="647"/>
        <w:rPr>
          <w:i/>
          <w:iCs/>
          <w:u w:val="single"/>
        </w:rPr>
      </w:pPr>
      <w:r w:rsidRPr="000F30FB">
        <w:rPr>
          <w:i/>
          <w:iCs/>
          <w:u w:val="single"/>
        </w:rPr>
        <w:t>MN-initiated CPAC</w:t>
      </w:r>
    </w:p>
    <w:p w14:paraId="35D5CDB5" w14:textId="0CA3F60A" w:rsidR="00FA7B07" w:rsidRPr="00A25C90" w:rsidRDefault="00FA7B07" w:rsidP="00FA7B07">
      <w:pPr>
        <w:pStyle w:val="Agreement"/>
        <w:tabs>
          <w:tab w:val="clear" w:pos="1619"/>
          <w:tab w:val="num" w:pos="709"/>
        </w:tabs>
        <w:spacing w:line="240" w:lineRule="auto"/>
        <w:ind w:left="709" w:hanging="425"/>
      </w:pPr>
      <w:r>
        <w:t>8</w:t>
      </w:r>
      <w:r>
        <w:tab/>
      </w:r>
      <w:r w:rsidRPr="00EC623D">
        <w:t>MN provide</w:t>
      </w:r>
      <w:r>
        <w:t>s</w:t>
      </w:r>
      <w:r w:rsidRPr="00EC623D">
        <w:t xml:space="preserve"> separate list of proposed PSCells to T-SN, and</w:t>
      </w:r>
      <w:r>
        <w:t xml:space="preserve"> u</w:t>
      </w:r>
      <w:r w:rsidRPr="00EC623D">
        <w:t>se</w:t>
      </w:r>
      <w:r>
        <w:t>s</w:t>
      </w:r>
      <w:r w:rsidRPr="00EC623D">
        <w:t xml:space="preserve"> legacy candidate cell information (candidateCellInfoListMN) to provide the candidate cells recommended by MN to T-SN.</w:t>
      </w:r>
    </w:p>
    <w:p w14:paraId="66416182" w14:textId="77777777" w:rsidR="00FA7B07" w:rsidRPr="00EC623D" w:rsidRDefault="00FA7B07" w:rsidP="00FA7B07">
      <w:pPr>
        <w:pStyle w:val="Agreement"/>
        <w:tabs>
          <w:tab w:val="clear" w:pos="1619"/>
          <w:tab w:val="num" w:pos="709"/>
        </w:tabs>
        <w:spacing w:line="240" w:lineRule="auto"/>
        <w:ind w:left="709" w:hanging="425"/>
      </w:pPr>
      <w:r w:rsidRPr="00EC623D">
        <w:t>9: For MN initiated CPAC, only the cells within the list recommended by MN can be chosen by T-SN.</w:t>
      </w:r>
    </w:p>
    <w:p w14:paraId="07C406C7" w14:textId="77777777" w:rsidR="00FA7B07" w:rsidRPr="001661FA" w:rsidRDefault="00FA7B07" w:rsidP="00501644">
      <w:pPr>
        <w:rPr>
          <w:rFonts w:ascii="Arial" w:hAnsi="Arial" w:cs="Arial"/>
        </w:rPr>
      </w:pPr>
    </w:p>
    <w:p w14:paraId="5A441BB6" w14:textId="1533D476" w:rsidR="00FA34BF" w:rsidRPr="000C2946" w:rsidRDefault="00024D61" w:rsidP="000C2946">
      <w:pPr>
        <w:rPr>
          <w:rFonts w:ascii="Arial" w:hAnsi="Arial" w:cs="Arial"/>
        </w:rPr>
      </w:pPr>
      <w:r w:rsidRPr="001661FA">
        <w:rPr>
          <w:rFonts w:ascii="Arial" w:hAnsi="Arial" w:cs="Arial"/>
        </w:rPr>
        <w:t>In this paper</w:t>
      </w:r>
      <w:r w:rsidR="00961A0C">
        <w:rPr>
          <w:rFonts w:ascii="Arial" w:hAnsi="Arial" w:cs="Arial"/>
        </w:rPr>
        <w:t>,</w:t>
      </w:r>
      <w:r w:rsidR="001661FA">
        <w:rPr>
          <w:rFonts w:ascii="Arial" w:hAnsi="Arial" w:cs="Arial"/>
        </w:rPr>
        <w:t xml:space="preserve"> open </w:t>
      </w:r>
      <w:r w:rsidR="00EB1074" w:rsidRPr="001661FA">
        <w:rPr>
          <w:rFonts w:ascii="Arial" w:hAnsi="Arial" w:cs="Arial"/>
        </w:rPr>
        <w:t xml:space="preserve">issues </w:t>
      </w:r>
      <w:r w:rsidR="00597B12">
        <w:rPr>
          <w:rFonts w:ascii="Arial" w:hAnsi="Arial" w:cs="Arial"/>
        </w:rPr>
        <w:t>related to the</w:t>
      </w:r>
      <w:r w:rsidR="001661FA">
        <w:rPr>
          <w:rFonts w:ascii="Arial" w:hAnsi="Arial" w:cs="Arial"/>
        </w:rPr>
        <w:t xml:space="preserve"> CPAC network procedures </w:t>
      </w:r>
      <w:r w:rsidR="00EB1074" w:rsidRPr="001661FA">
        <w:rPr>
          <w:rFonts w:ascii="Arial" w:hAnsi="Arial" w:cs="Arial"/>
        </w:rPr>
        <w:t>are dis</w:t>
      </w:r>
      <w:r w:rsidR="009B1588" w:rsidRPr="001661FA">
        <w:rPr>
          <w:rFonts w:ascii="Arial" w:hAnsi="Arial" w:cs="Arial"/>
        </w:rPr>
        <w:t>cussed and solutions are p</w:t>
      </w:r>
      <w:r w:rsidR="00EB1074" w:rsidRPr="001661FA">
        <w:rPr>
          <w:rFonts w:ascii="Arial" w:hAnsi="Arial" w:cs="Arial"/>
        </w:rPr>
        <w:t>r</w:t>
      </w:r>
      <w:r w:rsidR="009B1588" w:rsidRPr="001661FA">
        <w:rPr>
          <w:rFonts w:ascii="Arial" w:hAnsi="Arial" w:cs="Arial"/>
        </w:rPr>
        <w:t>op</w:t>
      </w:r>
      <w:r w:rsidR="00EB1074" w:rsidRPr="001661FA">
        <w:rPr>
          <w:rFonts w:ascii="Arial" w:hAnsi="Arial" w:cs="Arial"/>
        </w:rPr>
        <w:t>osed</w:t>
      </w:r>
      <w:r w:rsidR="005C2517" w:rsidRPr="001661FA">
        <w:rPr>
          <w:rFonts w:ascii="Arial" w:hAnsi="Arial" w:cs="Arial"/>
        </w:rPr>
        <w:t>.</w:t>
      </w:r>
    </w:p>
    <w:p w14:paraId="02C771A7" w14:textId="7305BD6E" w:rsidR="004000E8" w:rsidRPr="00CE0424" w:rsidRDefault="00230D18" w:rsidP="00CE0424">
      <w:pPr>
        <w:pStyle w:val="Heading1"/>
      </w:pPr>
      <w:bookmarkStart w:id="1" w:name="_Ref178064866"/>
      <w:r>
        <w:lastRenderedPageBreak/>
        <w:t>2</w:t>
      </w:r>
      <w:r>
        <w:tab/>
      </w:r>
      <w:r w:rsidR="004000E8" w:rsidRPr="00CE0424">
        <w:t>Discussion</w:t>
      </w:r>
      <w:bookmarkEnd w:id="1"/>
    </w:p>
    <w:p w14:paraId="5907AC6F" w14:textId="4C3D78E9" w:rsidR="00104032" w:rsidRDefault="00104032" w:rsidP="00104032">
      <w:pPr>
        <w:pStyle w:val="Heading2"/>
      </w:pPr>
      <w:r>
        <w:t>2.1</w:t>
      </w:r>
      <w:r>
        <w:tab/>
        <w:t>Coexistence between Rel-16</w:t>
      </w:r>
      <w:r w:rsidR="00102AB0">
        <w:t xml:space="preserve"> </w:t>
      </w:r>
      <w:r>
        <w:t xml:space="preserve">CPC and </w:t>
      </w:r>
      <w:r w:rsidR="00102AB0">
        <w:t>Rel-17</w:t>
      </w:r>
      <w:r>
        <w:t xml:space="preserve"> CPC</w:t>
      </w:r>
    </w:p>
    <w:p w14:paraId="4B6A07F9" w14:textId="77777777" w:rsidR="00164B15" w:rsidRDefault="00230055" w:rsidP="002501E9">
      <w:pPr>
        <w:pStyle w:val="BodyText"/>
      </w:pPr>
      <w:r>
        <w:t xml:space="preserve">The coexistence between the Rel-17 CPC solution and the Rel-16 solution for intra-SN CPC without MN involvement has not yet been discussed and is thus listed as an open issue in </w:t>
      </w:r>
      <w:r>
        <w:fldChar w:fldCharType="begin"/>
      </w:r>
      <w:r>
        <w:instrText xml:space="preserve"> REF _Ref95218345 \r \h </w:instrText>
      </w:r>
      <w:r>
        <w:fldChar w:fldCharType="separate"/>
      </w:r>
      <w:r>
        <w:t>[2]</w:t>
      </w:r>
      <w:r>
        <w:fldChar w:fldCharType="end"/>
      </w:r>
      <w:r>
        <w:t>.</w:t>
      </w:r>
    </w:p>
    <w:p w14:paraId="4B4C6CAE" w14:textId="4BF5DF8A" w:rsidR="002501E9" w:rsidRDefault="00230055" w:rsidP="002501E9">
      <w:pPr>
        <w:pStyle w:val="BodyText"/>
      </w:pPr>
      <w:r>
        <w:t xml:space="preserve">During SCG mobility the </w:t>
      </w:r>
      <w:r w:rsidR="002501E9">
        <w:t xml:space="preserve">source </w:t>
      </w:r>
      <w:r w:rsidR="00036F4B">
        <w:t xml:space="preserve">PSCell may be changed to a </w:t>
      </w:r>
      <w:r w:rsidR="00164B15">
        <w:t xml:space="preserve">new </w:t>
      </w:r>
      <w:r>
        <w:t xml:space="preserve">target PSCell </w:t>
      </w:r>
      <w:r w:rsidR="00036F4B">
        <w:t xml:space="preserve">that is </w:t>
      </w:r>
      <w:r>
        <w:t>either located in the same SN or in a different SN. In legacy, t</w:t>
      </w:r>
      <w:r w:rsidR="00104032" w:rsidRPr="00F00208">
        <w:t xml:space="preserve">he S-SN </w:t>
      </w:r>
      <w:r w:rsidR="00036F4B">
        <w:t xml:space="preserve">can </w:t>
      </w:r>
      <w:r w:rsidR="00164B15">
        <w:t>thus</w:t>
      </w:r>
      <w:r w:rsidR="002501E9">
        <w:t xml:space="preserve"> </w:t>
      </w:r>
      <w:r w:rsidRPr="00F00208">
        <w:t xml:space="preserve">decide to trigger a PSCell change to </w:t>
      </w:r>
      <w:r>
        <w:t xml:space="preserve">another of </w:t>
      </w:r>
      <w:r w:rsidRPr="00F00208">
        <w:t xml:space="preserve">its own cells or </w:t>
      </w:r>
      <w:r>
        <w:t xml:space="preserve">to a </w:t>
      </w:r>
      <w:r w:rsidRPr="00F00208">
        <w:t xml:space="preserve">cell in </w:t>
      </w:r>
      <w:r>
        <w:t>an</w:t>
      </w:r>
      <w:r w:rsidRPr="00F00208">
        <w:t>other SN candidate</w:t>
      </w:r>
      <w:r>
        <w:t xml:space="preserve">. Both these options should thus be supported also by the CPC procedures, i.e. so that the UE can be configured with </w:t>
      </w:r>
      <w:r w:rsidR="00104032" w:rsidRPr="00F00208">
        <w:t>CPC for target candidate</w:t>
      </w:r>
      <w:r>
        <w:t xml:space="preserve"> PSCell</w:t>
      </w:r>
      <w:r w:rsidR="00104032" w:rsidRPr="00F00208">
        <w:t xml:space="preserve">s that are in the S-SN (as in Rel-16) together with target candidate </w:t>
      </w:r>
      <w:r>
        <w:t>PSC</w:t>
      </w:r>
      <w:r w:rsidR="00104032" w:rsidRPr="00F00208">
        <w:t>ells from different SN(s).</w:t>
      </w:r>
    </w:p>
    <w:p w14:paraId="2934DE3C" w14:textId="003DE5B8" w:rsidR="002501E9" w:rsidRDefault="002501E9" w:rsidP="002501E9">
      <w:pPr>
        <w:pStyle w:val="Proposal"/>
      </w:pPr>
      <w:bookmarkStart w:id="2" w:name="_Toc95317022"/>
      <w:bookmarkStart w:id="3" w:name="_Toc95507718"/>
      <w:bookmarkStart w:id="4" w:name="_Toc95765050"/>
      <w:r>
        <w:t xml:space="preserve">It should be possible to configure the UE with </w:t>
      </w:r>
      <w:r w:rsidR="00BE7519">
        <w:t xml:space="preserve">CPC including </w:t>
      </w:r>
      <w:r>
        <w:t>target candidates associated to the S-SN and to other target candidate SN(s) simultaneously.</w:t>
      </w:r>
      <w:bookmarkEnd w:id="2"/>
      <w:bookmarkEnd w:id="3"/>
      <w:bookmarkEnd w:id="4"/>
    </w:p>
    <w:p w14:paraId="119877EA" w14:textId="76AB4FBE" w:rsidR="002501E9" w:rsidRDefault="002501E9" w:rsidP="00230055">
      <w:pPr>
        <w:pStyle w:val="BodyText"/>
      </w:pPr>
    </w:p>
    <w:p w14:paraId="51303797" w14:textId="71437681" w:rsidR="00E325A2" w:rsidRDefault="00F959A1" w:rsidP="00230055">
      <w:pPr>
        <w:pStyle w:val="BodyText"/>
      </w:pPr>
      <w:r w:rsidRPr="008B4B04">
        <w:t xml:space="preserve">If the </w:t>
      </w:r>
      <w:r w:rsidR="001A3CC8">
        <w:t xml:space="preserve">Rel-16 CPC and Rel-17 CPC </w:t>
      </w:r>
      <w:r w:rsidRPr="008B4B04">
        <w:t>features are to be supported simultaneously,</w:t>
      </w:r>
      <w:r w:rsidR="00D83430" w:rsidRPr="008B4B04">
        <w:t xml:space="preserve"> there are some </w:t>
      </w:r>
      <w:r w:rsidR="00122AC2">
        <w:t xml:space="preserve">related </w:t>
      </w:r>
      <w:r w:rsidR="00D83430" w:rsidRPr="008B4B04">
        <w:t>issues that need to be considered</w:t>
      </w:r>
      <w:r w:rsidR="001A3CC8">
        <w:t xml:space="preserve"> as listed in </w:t>
      </w:r>
      <w:r w:rsidR="001A3CC8">
        <w:fldChar w:fldCharType="begin"/>
      </w:r>
      <w:r w:rsidR="001A3CC8">
        <w:instrText xml:space="preserve"> REF _Ref95218345 \r \h </w:instrText>
      </w:r>
      <w:r w:rsidR="001A3CC8">
        <w:fldChar w:fldCharType="separate"/>
      </w:r>
      <w:r w:rsidR="001A3CC8">
        <w:t>[2]</w:t>
      </w:r>
      <w:r w:rsidR="001A3CC8">
        <w:fldChar w:fldCharType="end"/>
      </w:r>
      <w:r w:rsidR="00D83430" w:rsidRPr="008B4B04">
        <w:t xml:space="preserve">, e.g. </w:t>
      </w:r>
      <w:r w:rsidR="008516C9">
        <w:t xml:space="preserve">the </w:t>
      </w:r>
      <w:r w:rsidR="00122AC2">
        <w:t xml:space="preserve">handling of </w:t>
      </w:r>
      <w:r w:rsidR="00D83430" w:rsidRPr="008B4B04">
        <w:t xml:space="preserve">the number of simultaneous conditional reconfigurations </w:t>
      </w:r>
      <w:r w:rsidR="008516C9">
        <w:t>for</w:t>
      </w:r>
      <w:r w:rsidR="008516C9" w:rsidRPr="008B4B04">
        <w:t xml:space="preserve"> </w:t>
      </w:r>
      <w:r w:rsidR="00D83430" w:rsidRPr="008B4B04">
        <w:t xml:space="preserve">the UE and </w:t>
      </w:r>
      <w:r w:rsidR="008516C9">
        <w:t>how to handle the release of the other CPC configurations after a CPC execution.</w:t>
      </w:r>
    </w:p>
    <w:p w14:paraId="4E561A4C" w14:textId="61CC74B3" w:rsidR="00AF02AC" w:rsidRDefault="001A3CC8" w:rsidP="00230055">
      <w:pPr>
        <w:pStyle w:val="BodyText"/>
      </w:pPr>
      <w:r w:rsidRPr="001A3CC8">
        <w:t xml:space="preserve">A </w:t>
      </w:r>
      <w:r w:rsidR="00BF1EF4">
        <w:t>major</w:t>
      </w:r>
      <w:r w:rsidRPr="001A3CC8">
        <w:t xml:space="preserve"> difference between Rel-16 CPC and Rel-17 CPC is that the Rel-16 CPC is configured to the UE in SN format, whereas the Rel-17 CPC is configured in MN format. This is related to that there is no MN involvement in the Rel-16 CPC feature</w:t>
      </w:r>
      <w:r w:rsidR="00AF02AC">
        <w:t xml:space="preserve"> and</w:t>
      </w:r>
      <w:r w:rsidRPr="001A3CC8">
        <w:t xml:space="preserve"> the MN is </w:t>
      </w:r>
      <w:r w:rsidR="00AF02AC">
        <w:t xml:space="preserve">thus </w:t>
      </w:r>
      <w:r w:rsidRPr="001A3CC8">
        <w:t xml:space="preserve">not aware of </w:t>
      </w:r>
      <w:r w:rsidR="00AF02AC">
        <w:t xml:space="preserve">the Rel-16 </w:t>
      </w:r>
      <w:r w:rsidRPr="001A3CC8">
        <w:t>CPC configurations</w:t>
      </w:r>
      <w:r w:rsidR="00AF02AC">
        <w:t xml:space="preserve"> or execution</w:t>
      </w:r>
      <w:r w:rsidRPr="001A3CC8">
        <w:t>.</w:t>
      </w:r>
      <w:r w:rsidR="00AF02AC">
        <w:t xml:space="preserve"> The (source) SN would however be aware of both the Rel-16 CPC and the Rel-17 SN-initiated CPC configurations and execution, but not be aware of the Rel-17 MN-initiated CPC configurations.</w:t>
      </w:r>
    </w:p>
    <w:p w14:paraId="2016A9A6" w14:textId="63CD0947" w:rsidR="004D4258" w:rsidRDefault="00AF02AC" w:rsidP="00230055">
      <w:pPr>
        <w:pStyle w:val="BodyText"/>
      </w:pPr>
      <w:r>
        <w:t xml:space="preserve">This means </w:t>
      </w:r>
      <w:r w:rsidR="004D4258">
        <w:t>that in order to support a simultaneous configuration of Rel-16 CPC and Rel-17 MN-initiated CPC, either:</w:t>
      </w:r>
    </w:p>
    <w:p w14:paraId="5B22FD6C" w14:textId="315D4FD9" w:rsidR="004D4258" w:rsidRDefault="00AF02AC" w:rsidP="004D4258">
      <w:pPr>
        <w:pStyle w:val="BodyText"/>
        <w:numPr>
          <w:ilvl w:val="0"/>
          <w:numId w:val="29"/>
        </w:numPr>
      </w:pPr>
      <w:r>
        <w:t xml:space="preserve">a UE, supporting both Rel-16 CPC and Rel-17 </w:t>
      </w:r>
      <w:r w:rsidR="004D4258">
        <w:t xml:space="preserve">MN-initiated </w:t>
      </w:r>
      <w:r>
        <w:t>CPC, would need to support the maximum number of CPC configurations for each of the two features simultaneously (i.e. 8 + 8 = 16 simultaneous CPC reconfigurations)</w:t>
      </w:r>
      <w:r w:rsidR="004D4258">
        <w:t>; or</w:t>
      </w:r>
    </w:p>
    <w:p w14:paraId="497EFFD7" w14:textId="4D7E66A8" w:rsidR="001A3CC8" w:rsidRPr="001A3CC8" w:rsidRDefault="00AF02AC" w:rsidP="004D4258">
      <w:pPr>
        <w:pStyle w:val="BodyText"/>
        <w:numPr>
          <w:ilvl w:val="0"/>
          <w:numId w:val="29"/>
        </w:numPr>
      </w:pPr>
      <w:r>
        <w:t>an MN/SN inter-node coordination need</w:t>
      </w:r>
      <w:r w:rsidR="004D4258">
        <w:t>s</w:t>
      </w:r>
      <w:r>
        <w:t xml:space="preserve"> </w:t>
      </w:r>
      <w:r w:rsidR="004D4258">
        <w:t xml:space="preserve">be introduced in order </w:t>
      </w:r>
      <w:r>
        <w:t>to somehow control the number of simultaneous configurations of the two types</w:t>
      </w:r>
      <w:r w:rsidR="004D4258">
        <w:t xml:space="preserve"> (Rel-16 CPC and Rel-17 MN-initiated CPC)</w:t>
      </w:r>
      <w:r>
        <w:t>.</w:t>
      </w:r>
    </w:p>
    <w:p w14:paraId="0DCCD63B" w14:textId="0CECDDA0" w:rsidR="004B6823" w:rsidRDefault="00C600A7" w:rsidP="00230055">
      <w:pPr>
        <w:pStyle w:val="BodyText"/>
      </w:pPr>
      <w:r>
        <w:t xml:space="preserve">In case of </w:t>
      </w:r>
      <w:r w:rsidR="004C3136">
        <w:t xml:space="preserve">successful </w:t>
      </w:r>
      <w:r>
        <w:t xml:space="preserve">execution of a CPC configuration it can be assumed that the other CPC configurations would typically not be relevant anymore and thus should be released. </w:t>
      </w:r>
      <w:r w:rsidR="004C3136">
        <w:t xml:space="preserve">This is also the RAN2 working assumption for Rel-17 CPAC and should also be applicable in case Rel-16 CPC and Rel-17 CPC would be supported together. </w:t>
      </w:r>
      <w:r w:rsidR="004D4258">
        <w:t xml:space="preserve">To avoid inconsistency between the UE and the network, the network </w:t>
      </w:r>
      <w:r w:rsidR="004B6823">
        <w:t xml:space="preserve">node that handles the conditional reconfigurations also </w:t>
      </w:r>
      <w:r w:rsidR="004D4258">
        <w:t xml:space="preserve">needs to </w:t>
      </w:r>
      <w:r w:rsidR="004B6823">
        <w:t xml:space="preserve">release those </w:t>
      </w:r>
      <w:r w:rsidR="004D4258">
        <w:t xml:space="preserve">when </w:t>
      </w:r>
      <w:r w:rsidR="004B6823">
        <w:t xml:space="preserve">they are released by the </w:t>
      </w:r>
      <w:r w:rsidR="004D4258">
        <w:t>UE</w:t>
      </w:r>
      <w:r w:rsidR="004B6823">
        <w:t xml:space="preserve">, e.g. at execution of a CPC configuration. </w:t>
      </w:r>
      <w:r w:rsidR="00A24170">
        <w:t xml:space="preserve">In case </w:t>
      </w:r>
      <w:r w:rsidR="00056C3E">
        <w:t xml:space="preserve">a simultaneous configuration of </w:t>
      </w:r>
      <w:r w:rsidR="004B6823">
        <w:t xml:space="preserve">Rel-16 CPC and the Rel-17 CPC </w:t>
      </w:r>
      <w:r w:rsidR="00056C3E">
        <w:t xml:space="preserve">is </w:t>
      </w:r>
      <w:r w:rsidR="00A24170">
        <w:t>to be supported</w:t>
      </w:r>
      <w:r w:rsidR="004B6823">
        <w:t xml:space="preserve">, </w:t>
      </w:r>
      <w:r w:rsidR="00056C3E">
        <w:t>three</w:t>
      </w:r>
      <w:r w:rsidR="004B6823">
        <w:t xml:space="preserve"> </w:t>
      </w:r>
      <w:r w:rsidR="00056C3E">
        <w:t xml:space="preserve">different </w:t>
      </w:r>
      <w:r w:rsidR="004B6823">
        <w:t>cases can then be considered:</w:t>
      </w:r>
    </w:p>
    <w:p w14:paraId="57E1BCA4" w14:textId="41986DCB" w:rsidR="00056C3E" w:rsidRDefault="00056C3E" w:rsidP="00056C3E">
      <w:pPr>
        <w:pStyle w:val="BodyText"/>
        <w:numPr>
          <w:ilvl w:val="0"/>
          <w:numId w:val="30"/>
        </w:numPr>
      </w:pPr>
      <w:r>
        <w:t>A UE is configured with both Rel-16 CPC and Rel-17 CPC and successfully executes a Rel-17 CPC configuration (SN-initiated or MN-initiated)</w:t>
      </w:r>
    </w:p>
    <w:p w14:paraId="6E6176CF" w14:textId="77777777" w:rsidR="00056C3E" w:rsidRDefault="00056C3E" w:rsidP="00056C3E">
      <w:pPr>
        <w:pStyle w:val="BodyText"/>
        <w:numPr>
          <w:ilvl w:val="0"/>
          <w:numId w:val="30"/>
        </w:numPr>
      </w:pPr>
      <w:r>
        <w:t>A UE is configured with both Rel-16 CPC and Rel-17 SN-initiated CPC and successfully executes a Rel-16 CPC configuration</w:t>
      </w:r>
    </w:p>
    <w:p w14:paraId="4D26C29D" w14:textId="6CBE0A6A" w:rsidR="00056C3E" w:rsidRDefault="00056C3E" w:rsidP="00056C3E">
      <w:pPr>
        <w:pStyle w:val="BodyText"/>
        <w:numPr>
          <w:ilvl w:val="0"/>
          <w:numId w:val="30"/>
        </w:numPr>
      </w:pPr>
      <w:r>
        <w:t>A UE is configured with both Rel-16 CPC and Rel-17 MN-initiated CPC and successfully executes a Rel-16 CPC configuration</w:t>
      </w:r>
    </w:p>
    <w:p w14:paraId="5C127C2B" w14:textId="32CCE8D5" w:rsidR="00CE4309" w:rsidRDefault="00CE4309" w:rsidP="00230055">
      <w:pPr>
        <w:pStyle w:val="BodyText"/>
      </w:pPr>
      <w:r>
        <w:t>For case a) there would be no issues related to the release of the Rel-16 CPC configurations since the source SN (that handled those) would be changed to a different SN. No Rel-16 CPC configuration would thus be kept on the network side in this case.</w:t>
      </w:r>
    </w:p>
    <w:p w14:paraId="5FC425E8" w14:textId="578E7CCF" w:rsidR="00CE4309" w:rsidRDefault="00CE4309" w:rsidP="00230055">
      <w:pPr>
        <w:pStyle w:val="BodyText"/>
      </w:pPr>
      <w:r>
        <w:t xml:space="preserve">In case b) the S-SN would be completely in control of the Rel-16 CPC feature and to some extent also the Rel-17 SN-initiated CPC feature. The release of the Rel-17 CPC configuration could therefore be handled by the S-SN triggering a release of the Rel-17 CPC configurations towards the MN and </w:t>
      </w:r>
      <w:r w:rsidR="00FA4285">
        <w:t xml:space="preserve">candidate </w:t>
      </w:r>
      <w:r>
        <w:t>T-SN</w:t>
      </w:r>
      <w:r w:rsidR="00FA4285">
        <w:t>(s)</w:t>
      </w:r>
      <w:r>
        <w:t>, which should be supported by the feature anyway.</w:t>
      </w:r>
    </w:p>
    <w:p w14:paraId="02513A35" w14:textId="16DFD596" w:rsidR="00FA4285" w:rsidRDefault="00CE4309" w:rsidP="008516C9">
      <w:pPr>
        <w:pStyle w:val="BodyText"/>
      </w:pPr>
      <w:r>
        <w:lastRenderedPageBreak/>
        <w:t xml:space="preserve">For case c) </w:t>
      </w:r>
      <w:r w:rsidR="00FA4285">
        <w:t xml:space="preserve">however, since the MN is not aware of when a Rel-16 CPC execution has been performed, </w:t>
      </w:r>
      <w:r>
        <w:t xml:space="preserve">there would however be a need for a </w:t>
      </w:r>
      <w:r w:rsidR="00FA4285">
        <w:t>new mechanism where the S-SN somehow informs the MN (and the candidate T-SN(s)) that all the MN-initiated CPC configurations need to be released.</w:t>
      </w:r>
    </w:p>
    <w:p w14:paraId="01845C18" w14:textId="5EB3DBDA" w:rsidR="008516C9" w:rsidRDefault="008516C9" w:rsidP="00230055">
      <w:pPr>
        <w:pStyle w:val="BodyText"/>
      </w:pPr>
      <w:r w:rsidRPr="00FA4285">
        <w:t xml:space="preserve">Considering the limited time left in Rel-17, </w:t>
      </w:r>
      <w:r w:rsidR="00FA4285" w:rsidRPr="00FA4285">
        <w:t xml:space="preserve">any additional MN/SN coordination to support Rel-16 CPC and Rel-17 CPC </w:t>
      </w:r>
      <w:r w:rsidRPr="00FA4285">
        <w:t xml:space="preserve">should </w:t>
      </w:r>
      <w:r w:rsidR="00FA4285" w:rsidRPr="00FA4285">
        <w:t xml:space="preserve">be </w:t>
      </w:r>
      <w:r w:rsidRPr="00FA4285">
        <w:t>minimize</w:t>
      </w:r>
      <w:r w:rsidR="00FA4285" w:rsidRPr="00FA4285">
        <w:t>d.</w:t>
      </w:r>
      <w:r w:rsidR="00FA4285">
        <w:t xml:space="preserve"> We therefore think that only simultaneous configuration of Rel-16 CPC and Rel-17 SN-initiated CPC</w:t>
      </w:r>
      <w:r w:rsidR="00020C9E">
        <w:t xml:space="preserve"> should be supported</w:t>
      </w:r>
      <w:r w:rsidR="00FA4285">
        <w:t>. In other words</w:t>
      </w:r>
      <w:r w:rsidR="009A5219">
        <w:t xml:space="preserve">, </w:t>
      </w:r>
      <w:r w:rsidR="008632BC">
        <w:t>Rel-16 CPC and Rel-17 MN-initiated CPC should not be supported together.</w:t>
      </w:r>
    </w:p>
    <w:p w14:paraId="2ACFFAB0" w14:textId="476BC9D7" w:rsidR="00C84471" w:rsidRDefault="00C84471" w:rsidP="00E325A2">
      <w:pPr>
        <w:pStyle w:val="Observation"/>
      </w:pPr>
      <w:bookmarkStart w:id="5" w:name="_Toc95765044"/>
      <w:r>
        <w:t xml:space="preserve">In </w:t>
      </w:r>
      <w:r w:rsidR="00BA01A5">
        <w:t xml:space="preserve">order to support a simultaneous configuration of Rel-16 CPC and Rel-17 MN-initiated CPC </w:t>
      </w:r>
      <w:r w:rsidR="00122AC2">
        <w:t xml:space="preserve">there is either a need for MN/SN inter-node coordination to control the number of simultaneous conditional reconfigurations, </w:t>
      </w:r>
      <w:r w:rsidR="00E325A2">
        <w:t xml:space="preserve">or </w:t>
      </w:r>
      <w:r>
        <w:t xml:space="preserve">a UE that supports both features </w:t>
      </w:r>
      <w:r w:rsidR="00E325A2">
        <w:t xml:space="preserve">would need to </w:t>
      </w:r>
      <w:r>
        <w:t>support the maximum number of CPC configurations for each of the two features simultaneously</w:t>
      </w:r>
      <w:r w:rsidR="00E325A2">
        <w:t xml:space="preserve"> (i.e. 8 + 8 = 16 simultaneous CPC reconfigurations)</w:t>
      </w:r>
      <w:r>
        <w:t>.</w:t>
      </w:r>
      <w:bookmarkEnd w:id="5"/>
    </w:p>
    <w:p w14:paraId="50F2F4BD" w14:textId="5FCB2445" w:rsidR="00A24170" w:rsidRDefault="00B653B0" w:rsidP="00230055">
      <w:pPr>
        <w:pStyle w:val="Observation"/>
      </w:pPr>
      <w:bookmarkStart w:id="6" w:name="_Toc95765045"/>
      <w:r>
        <w:t xml:space="preserve">In case </w:t>
      </w:r>
      <w:r w:rsidR="00E325A2">
        <w:t>of simultaneous</w:t>
      </w:r>
      <w:r>
        <w:t xml:space="preserve"> Rel-16 CPC and Rel-17 CPC </w:t>
      </w:r>
      <w:r w:rsidR="00E325A2">
        <w:t>configurations</w:t>
      </w:r>
      <w:r>
        <w:t xml:space="preserve">, the CPC configurations for both types </w:t>
      </w:r>
      <w:r w:rsidR="00E325A2">
        <w:t>would need to</w:t>
      </w:r>
      <w:r>
        <w:t xml:space="preserve"> released by the UE in case of any CPC execution</w:t>
      </w:r>
      <w:r w:rsidR="00A24170">
        <w:t>.</w:t>
      </w:r>
      <w:r w:rsidR="00E325A2">
        <w:t xml:space="preserve"> </w:t>
      </w:r>
      <w:r>
        <w:t xml:space="preserve">For the combination of Rel-16 CPC and Rel-17 MN-initiated CPC, there would </w:t>
      </w:r>
      <w:r w:rsidR="00E325A2">
        <w:t xml:space="preserve">then </w:t>
      </w:r>
      <w:r>
        <w:t xml:space="preserve">be a need for a </w:t>
      </w:r>
      <w:r w:rsidR="00BA01A5">
        <w:t>new mechanism where</w:t>
      </w:r>
      <w:r>
        <w:t xml:space="preserve"> the S-SN</w:t>
      </w:r>
      <w:r w:rsidR="00BA01A5">
        <w:t>, in case of Rel-16 CPC execution, somehow triggers</w:t>
      </w:r>
      <w:r>
        <w:t xml:space="preserve"> the MN to release </w:t>
      </w:r>
      <w:r w:rsidR="00BA01A5">
        <w:t>all</w:t>
      </w:r>
      <w:r>
        <w:t xml:space="preserve"> the MN-initiated CPC configurations</w:t>
      </w:r>
      <w:r w:rsidR="00BA01A5">
        <w:t>.</w:t>
      </w:r>
      <w:bookmarkEnd w:id="6"/>
    </w:p>
    <w:p w14:paraId="39B9FC92" w14:textId="2BCD9695" w:rsidR="00E325A2" w:rsidRDefault="00E325A2" w:rsidP="00E325A2">
      <w:pPr>
        <w:pStyle w:val="Proposal"/>
      </w:pPr>
      <w:bookmarkStart w:id="7" w:name="_Toc95317023"/>
      <w:bookmarkStart w:id="8" w:name="_Toc95507719"/>
      <w:bookmarkStart w:id="9" w:name="_Toc95765051"/>
      <w:r>
        <w:t>Additional MN/SN inter-node coordination to support the combination of Rel-16 CPC and Rel-17 CPC should be minimized in Rel-17.</w:t>
      </w:r>
      <w:bookmarkEnd w:id="7"/>
      <w:bookmarkEnd w:id="8"/>
      <w:bookmarkEnd w:id="9"/>
    </w:p>
    <w:p w14:paraId="48210D93" w14:textId="77777777" w:rsidR="00020C9E" w:rsidRDefault="00BA01A5" w:rsidP="00E325A2">
      <w:pPr>
        <w:pStyle w:val="Proposal"/>
      </w:pPr>
      <w:bookmarkStart w:id="10" w:name="_Toc95507720"/>
      <w:bookmarkStart w:id="11" w:name="_Toc95765052"/>
      <w:r>
        <w:t>Simultaneous configuration of Rel-16 CPC and Rel-17 MN-initiated CPC should not be supported.</w:t>
      </w:r>
      <w:bookmarkEnd w:id="11"/>
      <w:r>
        <w:t xml:space="preserve"> </w:t>
      </w:r>
    </w:p>
    <w:p w14:paraId="3E05D634" w14:textId="5BBB6FAA" w:rsidR="00BA01A5" w:rsidRDefault="00020C9E" w:rsidP="00E325A2">
      <w:pPr>
        <w:pStyle w:val="Proposal"/>
      </w:pPr>
      <w:bookmarkStart w:id="12" w:name="_Toc95765053"/>
      <w:r>
        <w:t>S</w:t>
      </w:r>
      <w:r w:rsidR="00BA01A5">
        <w:t>imultaneous configuration of Rel-16 CPC and Rel-17 SN-initiated CPC</w:t>
      </w:r>
      <w:r>
        <w:t xml:space="preserve"> should be supported</w:t>
      </w:r>
      <w:r w:rsidR="00BA01A5">
        <w:t>.</w:t>
      </w:r>
      <w:bookmarkEnd w:id="10"/>
      <w:bookmarkEnd w:id="12"/>
    </w:p>
    <w:p w14:paraId="472A7957" w14:textId="6A233F0C" w:rsidR="006D03C6" w:rsidRDefault="006D03C6" w:rsidP="00036F4B">
      <w:pPr>
        <w:pStyle w:val="BodyText"/>
      </w:pPr>
    </w:p>
    <w:p w14:paraId="03800B83" w14:textId="52F2D781" w:rsidR="001923A3" w:rsidRDefault="001923A3" w:rsidP="001923A3">
      <w:pPr>
        <w:pStyle w:val="BodyText"/>
      </w:pPr>
      <w:r>
        <w:t>One important aspect to consider is also that the Rel-16 CPC only supports cases without MN involvement, i.e. it is there not possible to include any corresponding update to the MCG configuration, whereas the Rel-17 inter-SN CPC can be configured with MN involvement and thus supports updates to the MCG configuration (which are applied at CPC execution). By simply combining the Rel-16 intra-SN CPC and the Rel-17 inter-SN CPC there will thus be an inconsistency in that inter-SN CPC can be configured with updates to the MCG configuration whereas intra-SN CPC cannot include any MCG reconfiguration. The possibility to configure a UE with an intra-SN CPC configuration that includes a related update of the MCG configuration is thus missing.</w:t>
      </w:r>
    </w:p>
    <w:p w14:paraId="43F29A92" w14:textId="4F7118A7" w:rsidR="00BE7519" w:rsidRDefault="00971D22" w:rsidP="00C7158C">
      <w:pPr>
        <w:pStyle w:val="BodyText"/>
      </w:pPr>
      <w:r>
        <w:t xml:space="preserve">To avoid this difference between intra-SN and inter-SN CPC </w:t>
      </w:r>
      <w:r w:rsidR="009344F8">
        <w:t>configurations</w:t>
      </w:r>
      <w:r>
        <w:t xml:space="preserve">, a preferred option is to allow that the </w:t>
      </w:r>
      <w:r w:rsidR="006D03C6">
        <w:t xml:space="preserve">Rel-17 CPC solution </w:t>
      </w:r>
      <w:r>
        <w:t xml:space="preserve">also </w:t>
      </w:r>
      <w:r w:rsidR="006D03C6">
        <w:t>support</w:t>
      </w:r>
      <w:r>
        <w:t>s</w:t>
      </w:r>
      <w:r w:rsidR="006D03C6">
        <w:t xml:space="preserve"> CPC for PSCell candidates that are located in the current SN. </w:t>
      </w:r>
      <w:r w:rsidR="001923A3">
        <w:t xml:space="preserve">A simple way to achieve this </w:t>
      </w:r>
      <w:r>
        <w:t xml:space="preserve">could e.g. </w:t>
      </w:r>
      <w:r w:rsidR="001923A3">
        <w:t xml:space="preserve">be to just </w:t>
      </w:r>
      <w:r w:rsidR="00F5263E">
        <w:t>let</w:t>
      </w:r>
      <w:r w:rsidR="009344F8">
        <w:t xml:space="preserve"> the S-SN include its own identity in the </w:t>
      </w:r>
      <w:r w:rsidR="006D03C6" w:rsidRPr="00C7158C">
        <w:rPr>
          <w:i/>
          <w:iCs/>
        </w:rPr>
        <w:t>Target S-NG-RAN node ID</w:t>
      </w:r>
      <w:r w:rsidR="006D03C6">
        <w:t xml:space="preserve"> field in the SN Change Required message and that the corresponding SN Addition Request message </w:t>
      </w:r>
      <w:r>
        <w:t xml:space="preserve">(for CPC) then </w:t>
      </w:r>
      <w:r w:rsidR="00F5263E">
        <w:t>is</w:t>
      </w:r>
      <w:r>
        <w:t xml:space="preserve"> sent</w:t>
      </w:r>
      <w:r w:rsidR="00F5263E">
        <w:t xml:space="preserve"> back</w:t>
      </w:r>
      <w:r>
        <w:t xml:space="preserve"> </w:t>
      </w:r>
      <w:r w:rsidR="006D03C6">
        <w:t>to the S-SN</w:t>
      </w:r>
      <w:r w:rsidR="001923A3">
        <w:t>.</w:t>
      </w:r>
      <w:r w:rsidR="006D03C6">
        <w:t xml:space="preserve"> </w:t>
      </w:r>
      <w:r w:rsidR="00F5263E">
        <w:t>It should however be checked with RAN3 whether the solution requires any update to the specifications.</w:t>
      </w:r>
    </w:p>
    <w:p w14:paraId="7012151F" w14:textId="77777777" w:rsidR="001923A3" w:rsidRDefault="001923A3" w:rsidP="001923A3">
      <w:pPr>
        <w:pStyle w:val="Observation"/>
      </w:pPr>
      <w:bookmarkStart w:id="13" w:name="_Toc95765046"/>
      <w:r>
        <w:t>Just combining the Rel-16 intra-SN CPC and the Rel-17 inter-SN CPC would lead to that CPC configurations that include MCG updates is only possible for inter-SN PSCell candidates, whereas CPC configurations for intra-SN PSCell candidates cannot include any MCG updates.</w:t>
      </w:r>
      <w:bookmarkEnd w:id="13"/>
    </w:p>
    <w:p w14:paraId="57C219C4" w14:textId="1CCCAB19" w:rsidR="00C7158C" w:rsidRDefault="009344F8" w:rsidP="006D03C6">
      <w:pPr>
        <w:pStyle w:val="Proposal"/>
      </w:pPr>
      <w:bookmarkStart w:id="14" w:name="_Toc95317026"/>
      <w:bookmarkStart w:id="15" w:name="_Toc95507721"/>
      <w:bookmarkStart w:id="16" w:name="_Toc95765054"/>
      <w:r>
        <w:t xml:space="preserve">It should be </w:t>
      </w:r>
      <w:r w:rsidR="006D03C6">
        <w:t>possible</w:t>
      </w:r>
      <w:r>
        <w:t xml:space="preserve"> to configure the UE with intra-SN CPC, which includes updates to the MCG configuration.</w:t>
      </w:r>
      <w:bookmarkEnd w:id="14"/>
      <w:bookmarkEnd w:id="15"/>
      <w:bookmarkEnd w:id="16"/>
    </w:p>
    <w:p w14:paraId="68A3F387" w14:textId="412DF2DD" w:rsidR="006D03C6" w:rsidRDefault="00C7158C" w:rsidP="006D03C6">
      <w:pPr>
        <w:pStyle w:val="Proposal"/>
      </w:pPr>
      <w:bookmarkStart w:id="17" w:name="_Toc95317027"/>
      <w:bookmarkStart w:id="18" w:name="_Toc95507722"/>
      <w:bookmarkStart w:id="19" w:name="_Toc95765055"/>
      <w:r>
        <w:t>Intra-SN PSCell candidates should be supported in the Rel-17 CPC solution</w:t>
      </w:r>
      <w:r w:rsidR="006D03C6">
        <w:t>.</w:t>
      </w:r>
      <w:bookmarkEnd w:id="17"/>
      <w:bookmarkEnd w:id="18"/>
      <w:bookmarkEnd w:id="19"/>
    </w:p>
    <w:p w14:paraId="28BB909D" w14:textId="4D7E8FF2" w:rsidR="00641460" w:rsidRDefault="00641460" w:rsidP="00104032">
      <w:pPr>
        <w:pStyle w:val="BodyText"/>
      </w:pPr>
    </w:p>
    <w:p w14:paraId="42CFC4CA" w14:textId="2DC4AD92" w:rsidR="008B4B04" w:rsidRDefault="00104032" w:rsidP="008B4B04">
      <w:pPr>
        <w:pStyle w:val="Heading2"/>
      </w:pPr>
      <w:r>
        <w:lastRenderedPageBreak/>
        <w:t>2.2</w:t>
      </w:r>
      <w:r>
        <w:tab/>
      </w:r>
      <w:r w:rsidR="008B4B04">
        <w:t>Coexistence between CHO and CP</w:t>
      </w:r>
      <w:r w:rsidR="00C17CC8">
        <w:t>A</w:t>
      </w:r>
      <w:r w:rsidR="008B4B04">
        <w:t>C</w:t>
      </w:r>
    </w:p>
    <w:p w14:paraId="5854C835" w14:textId="18000AD5" w:rsidR="001B5472" w:rsidRPr="001B5472" w:rsidRDefault="00A41E03" w:rsidP="006456D2">
      <w:pPr>
        <w:pStyle w:val="Heading3"/>
      </w:pPr>
      <w:r>
        <w:t>2.2.1</w:t>
      </w:r>
      <w:r w:rsidRPr="00D6712D">
        <w:tab/>
      </w:r>
      <w:r w:rsidR="001B5472" w:rsidRPr="001B5472">
        <w:t>Simultaneous configuration of CHO and Rel-16 CPC</w:t>
      </w:r>
    </w:p>
    <w:p w14:paraId="2193D301" w14:textId="442B9DE2" w:rsidR="003E5A59" w:rsidRDefault="00862A67" w:rsidP="00862A67">
      <w:pPr>
        <w:pStyle w:val="BodyText"/>
      </w:pPr>
      <w:r>
        <w:t xml:space="preserve">In the Rel-16 work </w:t>
      </w:r>
      <w:r w:rsidR="00AB10F1">
        <w:t>mobility enhancements there was some discussions whether to support CHO and Rel-16 intra-SN CPC simultaneously, i.e. so that the UE could be configured with both features at the same time</w:t>
      </w:r>
      <w:r w:rsidR="00A4459A">
        <w:t>, but it was not included at the end.</w:t>
      </w:r>
      <w:r w:rsidR="003E5A59">
        <w:t xml:space="preserve"> This is e.g. captured in 37.340, clause 10.1, as:</w:t>
      </w:r>
    </w:p>
    <w:p w14:paraId="4A256CF3" w14:textId="58EEDC4C" w:rsidR="003E5A59" w:rsidRPr="003E5A59" w:rsidRDefault="003E5A59" w:rsidP="003E5A59">
      <w:pPr>
        <w:pStyle w:val="BodyText"/>
        <w:ind w:left="567"/>
        <w:rPr>
          <w:i/>
          <w:iCs/>
        </w:rPr>
      </w:pPr>
      <w:r w:rsidRPr="003E5A59">
        <w:rPr>
          <w:i/>
          <w:iCs/>
        </w:rPr>
        <w:t>Configuration of CHO and CPC for simultaneous operation is not supported in this release.</w:t>
      </w:r>
    </w:p>
    <w:p w14:paraId="0B62AA50" w14:textId="770F5098" w:rsidR="00603E82" w:rsidRDefault="00603E82" w:rsidP="00862A67">
      <w:pPr>
        <w:pStyle w:val="BodyText"/>
      </w:pPr>
      <w:r>
        <w:t>Similar to what was</w:t>
      </w:r>
      <w:r w:rsidR="00A4459A">
        <w:t xml:space="preserve"> discussed in the previous section</w:t>
      </w:r>
      <w:r>
        <w:t>,</w:t>
      </w:r>
      <w:r w:rsidR="00A4459A">
        <w:t xml:space="preserve"> there are some issues to </w:t>
      </w:r>
      <w:r w:rsidR="00ED03C8">
        <w:t xml:space="preserve">simultaneously </w:t>
      </w:r>
      <w:r w:rsidR="00A4459A">
        <w:t xml:space="preserve">support the Rel-16 intra-SN CPC feature and </w:t>
      </w:r>
      <w:r>
        <w:t xml:space="preserve">CHO, since the latter is also a </w:t>
      </w:r>
      <w:r w:rsidR="00A4459A">
        <w:t xml:space="preserve">feature </w:t>
      </w:r>
      <w:r>
        <w:t xml:space="preserve">that is </w:t>
      </w:r>
      <w:r w:rsidR="00A4459A">
        <w:t>handled by the MN</w:t>
      </w:r>
      <w:r>
        <w:t xml:space="preserve">. This includes </w:t>
      </w:r>
      <w:r w:rsidR="00ED03C8">
        <w:t xml:space="preserve">the amount of conditional reconfigurations </w:t>
      </w:r>
      <w:r>
        <w:t xml:space="preserve">that </w:t>
      </w:r>
      <w:r w:rsidR="00ED03C8">
        <w:t xml:space="preserve">the UE </w:t>
      </w:r>
      <w:r>
        <w:t xml:space="preserve">can be simultaneously configured with </w:t>
      </w:r>
      <w:r w:rsidR="00ED03C8">
        <w:t>and the handling in case of execution of the Rel-16 intra-SN CPC.</w:t>
      </w:r>
    </w:p>
    <w:p w14:paraId="56950849" w14:textId="577A56D9" w:rsidR="00603E82" w:rsidRDefault="00603E82" w:rsidP="00862A67">
      <w:pPr>
        <w:pStyle w:val="BodyText"/>
      </w:pPr>
      <w:r>
        <w:t>For the number of supported conditional reconfigurations there would then either be a need for MN/SN coordination for these features (where one is defined without MN involvement), or that the UE supports the maximum number for both features simultaneously (i.e. 8 + 8 = 16 simultaneous conditional reconfigurations).</w:t>
      </w:r>
    </w:p>
    <w:p w14:paraId="0C56DCB9" w14:textId="680756E3" w:rsidR="00327D28" w:rsidRDefault="00603E82" w:rsidP="00862A67">
      <w:pPr>
        <w:pStyle w:val="BodyText"/>
      </w:pPr>
      <w:r>
        <w:t xml:space="preserve">The CPC configurations </w:t>
      </w:r>
      <w:r w:rsidR="00683943">
        <w:t>are</w:t>
      </w:r>
      <w:r>
        <w:t xml:space="preserve"> typically </w:t>
      </w:r>
      <w:r w:rsidR="00683943">
        <w:t xml:space="preserve">not relevant anymore if the UE performs </w:t>
      </w:r>
      <w:r>
        <w:t xml:space="preserve">execution of CHO (or a normal HO) </w:t>
      </w:r>
      <w:r w:rsidR="00683943">
        <w:t xml:space="preserve">and they therefore need to be released in those cases. The same applies for the CHO configurations in case </w:t>
      </w:r>
      <w:r w:rsidR="00327D28">
        <w:t>of execution of CPC (especially considering that it has been agreed that CHO with MR-DC configuration is to be supported). The CHO configurations should thus also be released at execution of CPC.</w:t>
      </w:r>
    </w:p>
    <w:p w14:paraId="1895F42B" w14:textId="46064467" w:rsidR="00AB10F1" w:rsidRDefault="00683943" w:rsidP="00862A67">
      <w:pPr>
        <w:pStyle w:val="BodyText"/>
      </w:pPr>
      <w:r>
        <w:t>S</w:t>
      </w:r>
      <w:r w:rsidR="00603E82">
        <w:t xml:space="preserve">ince the SN is aware of when a handover takes place </w:t>
      </w:r>
      <w:r>
        <w:t xml:space="preserve">it </w:t>
      </w:r>
      <w:r w:rsidR="00327D28">
        <w:t xml:space="preserve">would be </w:t>
      </w:r>
      <w:r>
        <w:t xml:space="preserve">possible </w:t>
      </w:r>
      <w:r w:rsidR="00327D28">
        <w:t xml:space="preserve">for it to </w:t>
      </w:r>
      <w:r>
        <w:t xml:space="preserve">release the CPC also </w:t>
      </w:r>
      <w:r w:rsidR="00603E82">
        <w:t>on the network side (i.e. in the SN)</w:t>
      </w:r>
      <w:r w:rsidR="00327D28">
        <w:t xml:space="preserve"> at execution of CHO</w:t>
      </w:r>
      <w:r w:rsidR="00603E82">
        <w:t xml:space="preserve">. </w:t>
      </w:r>
      <w:r w:rsidR="00327D28">
        <w:t xml:space="preserve">However, the MN is not aware of when a Rel-16 CPC has been executed and it would therefore not be able to release the CHO configurations on the network side in that case. </w:t>
      </w:r>
      <w:r w:rsidR="00ED03C8">
        <w:t xml:space="preserve">If CHO and Rel-16 CPC are to be supported simultaneously, </w:t>
      </w:r>
      <w:r w:rsidR="00327D28">
        <w:t xml:space="preserve">there </w:t>
      </w:r>
      <w:r w:rsidR="00603E82">
        <w:t xml:space="preserve">would </w:t>
      </w:r>
      <w:r w:rsidR="00327D28">
        <w:t xml:space="preserve">therefore </w:t>
      </w:r>
      <w:r w:rsidR="00603E82">
        <w:t xml:space="preserve">be a need </w:t>
      </w:r>
      <w:r w:rsidR="00327D28">
        <w:t xml:space="preserve">to inform the MN about successful execution of a Rel-16 CPC, e.g. by sending </w:t>
      </w:r>
      <w:r w:rsidR="00603E82">
        <w:t xml:space="preserve">a new </w:t>
      </w:r>
      <w:r w:rsidR="003E5A59">
        <w:t>indication from the SN to the MN</w:t>
      </w:r>
      <w:r w:rsidR="00603E82">
        <w:t>.</w:t>
      </w:r>
    </w:p>
    <w:p w14:paraId="470C4838" w14:textId="6B0BF21C" w:rsidR="003E5A59" w:rsidRDefault="003E5A59" w:rsidP="00862A67">
      <w:pPr>
        <w:pStyle w:val="BodyText"/>
      </w:pPr>
      <w:r>
        <w:t xml:space="preserve">Another issue related to simultaneous support for CHO and Rel-16 CPC is that these are both Rel-16 features that cannot be configured together </w:t>
      </w:r>
      <w:r w:rsidR="001B5472">
        <w:t>in that release</w:t>
      </w:r>
      <w:r>
        <w:t>.</w:t>
      </w:r>
      <w:r w:rsidR="001B5472">
        <w:t xml:space="preserve"> In order to support simultaneous support of these features </w:t>
      </w:r>
      <w:r w:rsidR="00102AB0">
        <w:t xml:space="preserve">in Rel-17 </w:t>
      </w:r>
      <w:r w:rsidR="001B5472">
        <w:t>there would then therefore be a need for a</w:t>
      </w:r>
      <w:r w:rsidR="00102AB0">
        <w:t>n</w:t>
      </w:r>
      <w:r w:rsidR="001B5472">
        <w:t xml:space="preserve"> </w:t>
      </w:r>
      <w:r w:rsidR="00102AB0">
        <w:t xml:space="preserve">indication about the </w:t>
      </w:r>
      <w:r w:rsidR="001B5472">
        <w:t>corresponding UE capability</w:t>
      </w:r>
      <w:r w:rsidR="00102AB0">
        <w:t>,</w:t>
      </w:r>
      <w:r w:rsidR="001B5472">
        <w:t xml:space="preserve"> so that the network knows whether the UE can be configured with both</w:t>
      </w:r>
      <w:r w:rsidR="00102AB0">
        <w:t xml:space="preserve"> features</w:t>
      </w:r>
      <w:r w:rsidR="001B5472">
        <w:t>, or not.</w:t>
      </w:r>
    </w:p>
    <w:p w14:paraId="4CD9C3E2" w14:textId="2E50C9EF" w:rsidR="00327D28" w:rsidRDefault="00327D28" w:rsidP="00862A67">
      <w:pPr>
        <w:pStyle w:val="BodyText"/>
      </w:pPr>
      <w:r>
        <w:t>Considering the additional work that would be needed to support a simultaneous configuration of CHO and Rel-16 CPC (which is not supported in Rel-16) and that there is very limited time left in Rel-17, we therefore propose to not support this combination in Rel-17.</w:t>
      </w:r>
    </w:p>
    <w:p w14:paraId="3AA43ED8" w14:textId="7E4ACA65" w:rsidR="00F64923" w:rsidRDefault="00F64923" w:rsidP="00F64923">
      <w:pPr>
        <w:pStyle w:val="Observation"/>
      </w:pPr>
      <w:bookmarkStart w:id="20" w:name="_Toc95765047"/>
      <w:r>
        <w:t xml:space="preserve">To support a simultaneous configuration of CHO and Rel-16 CPC there would either be a need for </w:t>
      </w:r>
      <w:r w:rsidR="00683943">
        <w:t xml:space="preserve">an </w:t>
      </w:r>
      <w:r>
        <w:t xml:space="preserve">MN/SN coordination </w:t>
      </w:r>
      <w:r w:rsidR="00683943">
        <w:t>about the number of conditional reconfigurations that the respective node can configure, or that the UE can be configured with the maximum number of conditional reconfigurations for both features simultaneously (i.e. 8 + 8 = 16)</w:t>
      </w:r>
      <w:r>
        <w:t>.</w:t>
      </w:r>
      <w:bookmarkEnd w:id="20"/>
    </w:p>
    <w:p w14:paraId="16436F2B" w14:textId="5AC2CF40" w:rsidR="00683943" w:rsidRDefault="00683943" w:rsidP="00F64923">
      <w:pPr>
        <w:pStyle w:val="Observation"/>
      </w:pPr>
      <w:bookmarkStart w:id="21" w:name="_Toc95765048"/>
      <w:r>
        <w:t xml:space="preserve">To support a simultaneous configuration of CHO and Rel-16 CPC there would be a need for a </w:t>
      </w:r>
      <w:r w:rsidR="00327D28">
        <w:t>new mechanism to inform the MN about successful execution of a Rel-16 CPC, e.g. by sending a new indication from the SN to the MN.</w:t>
      </w:r>
      <w:bookmarkEnd w:id="21"/>
    </w:p>
    <w:p w14:paraId="0AE535AA" w14:textId="675499E4" w:rsidR="00683943" w:rsidRDefault="00683943" w:rsidP="00F64923">
      <w:pPr>
        <w:pStyle w:val="Observation"/>
      </w:pPr>
      <w:bookmarkStart w:id="22" w:name="_Toc95765049"/>
      <w:r>
        <w:t xml:space="preserve">To support a simultaneous configuration of CHO and Rel-16 CPC there would be a need for a corresponding UE capability </w:t>
      </w:r>
      <w:r w:rsidR="00102AB0">
        <w:t xml:space="preserve">indication </w:t>
      </w:r>
      <w:r>
        <w:t>so that the network knows whether the UE supports the simultaneous configuration or not.</w:t>
      </w:r>
      <w:bookmarkEnd w:id="22"/>
    </w:p>
    <w:p w14:paraId="333F139A" w14:textId="7F986AAF" w:rsidR="000636C5" w:rsidRDefault="000636C5" w:rsidP="000636C5">
      <w:pPr>
        <w:pStyle w:val="Proposal"/>
      </w:pPr>
      <w:bookmarkStart w:id="23" w:name="_Toc95507723"/>
      <w:bookmarkStart w:id="24" w:name="_Toc95765056"/>
      <w:r>
        <w:t xml:space="preserve">Configuration of CHO and Rel-16 CPC simultaneously </w:t>
      </w:r>
      <w:r w:rsidR="001B0BB0">
        <w:t>should</w:t>
      </w:r>
      <w:r>
        <w:t xml:space="preserve"> not </w:t>
      </w:r>
      <w:r w:rsidR="001B0BB0">
        <w:t xml:space="preserve">be </w:t>
      </w:r>
      <w:r>
        <w:t>supported in Rel-17 (i.e. just as in Rel-16).</w:t>
      </w:r>
      <w:bookmarkEnd w:id="23"/>
      <w:bookmarkEnd w:id="24"/>
    </w:p>
    <w:p w14:paraId="3F2616A2" w14:textId="77777777" w:rsidR="000636C5" w:rsidRDefault="000636C5" w:rsidP="00862A67">
      <w:pPr>
        <w:pStyle w:val="BodyText"/>
      </w:pPr>
    </w:p>
    <w:p w14:paraId="3E1959CA" w14:textId="0EDF4D3E" w:rsidR="001B5472" w:rsidRPr="001B5472" w:rsidRDefault="00134E32" w:rsidP="00A41E03">
      <w:pPr>
        <w:pStyle w:val="Heading3"/>
      </w:pPr>
      <w:r>
        <w:t>2.2.2</w:t>
      </w:r>
      <w:r w:rsidR="00A41E03" w:rsidRPr="00A41E03">
        <w:t xml:space="preserve"> </w:t>
      </w:r>
      <w:r w:rsidR="00A41E03" w:rsidRPr="00D6712D">
        <w:tab/>
      </w:r>
      <w:r w:rsidR="001B5472" w:rsidRPr="001B5472">
        <w:t>Simultaneous configuration of CHO and Rel-1</w:t>
      </w:r>
      <w:r w:rsidR="002E5642">
        <w:t>7</w:t>
      </w:r>
      <w:r w:rsidR="001B5472" w:rsidRPr="001B5472">
        <w:t xml:space="preserve"> CP</w:t>
      </w:r>
      <w:r w:rsidR="002E5642">
        <w:t>A</w:t>
      </w:r>
      <w:r w:rsidR="001B5472" w:rsidRPr="001B5472">
        <w:t>C</w:t>
      </w:r>
    </w:p>
    <w:p w14:paraId="37ADF7F3" w14:textId="691563E2" w:rsidR="001B5472" w:rsidRDefault="003A21DA" w:rsidP="00862A67">
      <w:pPr>
        <w:pStyle w:val="BodyText"/>
      </w:pPr>
      <w:r>
        <w:t xml:space="preserve">A main difference </w:t>
      </w:r>
      <w:r w:rsidR="00122AC2">
        <w:t xml:space="preserve">with </w:t>
      </w:r>
      <w:r>
        <w:t>Rel-17 CPAC</w:t>
      </w:r>
      <w:r w:rsidR="00122AC2">
        <w:t>,</w:t>
      </w:r>
      <w:r>
        <w:t xml:space="preserve"> </w:t>
      </w:r>
      <w:r w:rsidR="00122AC2">
        <w:t xml:space="preserve">compared to Rel-16 CPC, </w:t>
      </w:r>
      <w:r>
        <w:t xml:space="preserve">is that </w:t>
      </w:r>
      <w:r w:rsidR="00122AC2">
        <w:t>the Rel-17 CPAC configurations are all in MN format, and thus handled by the MN (just as for CHO)</w:t>
      </w:r>
      <w:r>
        <w:t xml:space="preserve">. This means that if CHO and Rel-17 CPAC are supported simultaneously, the MN can still control the number of simultaneous conditional reconfigurations that the UE is configured with. The MN </w:t>
      </w:r>
      <w:r w:rsidR="001B0BB0">
        <w:t xml:space="preserve">(as well as the SN) </w:t>
      </w:r>
      <w:r>
        <w:t xml:space="preserve">is </w:t>
      </w:r>
      <w:r w:rsidR="00122AC2">
        <w:t xml:space="preserve">thus </w:t>
      </w:r>
      <w:r>
        <w:t>also aware of execution of both CHO and Rel-17 CPAC features</w:t>
      </w:r>
      <w:r w:rsidR="001B0BB0">
        <w:t xml:space="preserve"> and the network can therefore already handle the release of the other conditional </w:t>
      </w:r>
      <w:r w:rsidR="001B0BB0">
        <w:lastRenderedPageBreak/>
        <w:t>reconfigurations in that case. We therefore propose that the combination of CHO and Rel-17 CPAC is supported, i.e. that they can be configured simultaneously.</w:t>
      </w:r>
    </w:p>
    <w:p w14:paraId="464DC723" w14:textId="623B9FA7" w:rsidR="001B0BB0" w:rsidRDefault="001B0BB0" w:rsidP="00862A67">
      <w:pPr>
        <w:pStyle w:val="BodyText"/>
      </w:pPr>
      <w:r>
        <w:t>A discussion during the Rel-16 work was how to handle the case that execution conditions for both CPC and CHO are fulfilled at the same time and whether there should be any prioritization for that case. We think that it would make sense to prioritize CHO over CPC or CPA in such case, but this could perhaps be left for UE implementation. In case execution of one procedure has started, it should however not be stopped due to that another one would be triggered, e.g. if execution of a CPC procedure has been started it should not be stopped due to that execution conditions for CHO are fulfilled.</w:t>
      </w:r>
    </w:p>
    <w:p w14:paraId="091AAB84" w14:textId="1888FB3A" w:rsidR="001B0BB0" w:rsidRDefault="001B0BB0" w:rsidP="001B0BB0">
      <w:pPr>
        <w:pStyle w:val="Proposal"/>
      </w:pPr>
      <w:bookmarkStart w:id="25" w:name="_Toc95507724"/>
      <w:bookmarkStart w:id="26" w:name="_Toc95765057"/>
      <w:r>
        <w:t>Configuration of CHO and Rel-17 CPAC simultaneously should be supported.</w:t>
      </w:r>
      <w:bookmarkEnd w:id="25"/>
      <w:bookmarkEnd w:id="26"/>
    </w:p>
    <w:p w14:paraId="0B652882" w14:textId="77777777" w:rsidR="008B4B04" w:rsidRDefault="008B4B04" w:rsidP="00104032">
      <w:pPr>
        <w:pStyle w:val="BodyText"/>
      </w:pPr>
    </w:p>
    <w:p w14:paraId="0DC8B9E7" w14:textId="0A830F17" w:rsidR="00104032" w:rsidRDefault="00104032" w:rsidP="00104032">
      <w:pPr>
        <w:pStyle w:val="Heading2"/>
      </w:pPr>
      <w:r w:rsidRPr="00AD4B32">
        <w:t>2.</w:t>
      </w:r>
      <w:r w:rsidR="008B4B04" w:rsidRPr="003A4E71">
        <w:t>3</w:t>
      </w:r>
      <w:r>
        <w:tab/>
        <w:t>Supported MR-DC options</w:t>
      </w:r>
    </w:p>
    <w:p w14:paraId="6890905B" w14:textId="77777777" w:rsidR="00104032" w:rsidRDefault="00104032" w:rsidP="00104032">
      <w:pPr>
        <w:pStyle w:val="BodyText"/>
      </w:pPr>
      <w:r>
        <w:t>In Rel-16 it was agreed to support neither CPC nor CHO for LTE/5GC since there would be additional specification impact to support it. This has then been specified in 37.340 and 36.300, respectively, as:</w:t>
      </w:r>
    </w:p>
    <w:p w14:paraId="0CFEF12B" w14:textId="77777777" w:rsidR="00104032" w:rsidRDefault="00104032" w:rsidP="00104032">
      <w:pPr>
        <w:pStyle w:val="BodyText"/>
        <w:numPr>
          <w:ilvl w:val="0"/>
          <w:numId w:val="25"/>
        </w:numPr>
      </w:pPr>
      <w:r w:rsidRPr="00DA74A0">
        <w:rPr>
          <w:i/>
          <w:iCs/>
        </w:rPr>
        <w:t>Conditional PSCell Change is not supported for the MR-DC options NE-DC and NGEN-DC.</w:t>
      </w:r>
    </w:p>
    <w:p w14:paraId="2B76A6A2" w14:textId="77777777" w:rsidR="00104032" w:rsidRDefault="00104032" w:rsidP="00104032">
      <w:pPr>
        <w:pStyle w:val="BodyText"/>
        <w:numPr>
          <w:ilvl w:val="0"/>
          <w:numId w:val="25"/>
        </w:numPr>
      </w:pPr>
      <w:r w:rsidRPr="00DA74A0">
        <w:rPr>
          <w:i/>
          <w:iCs/>
        </w:rPr>
        <w:t>Neither DAPS Handover nor Conditional Handover are supported for E-UTRA connected to 5GC</w:t>
      </w:r>
      <w:r>
        <w:t>.</w:t>
      </w:r>
    </w:p>
    <w:p w14:paraId="01E36E8B" w14:textId="27A2C9BC" w:rsidR="00104032" w:rsidRDefault="00104032" w:rsidP="00104032">
      <w:pPr>
        <w:pStyle w:val="BodyText"/>
      </w:pPr>
      <w:r>
        <w:t>For Rel-17 CPAC it has not yet been discussed whether to support it for LTE/5GC or not. This is also captured as an Editor’s Note in the (latest) running CR to 37</w:t>
      </w:r>
      <w:r w:rsidRPr="008D34F3">
        <w:t xml:space="preserve">.340 (in </w:t>
      </w:r>
      <w:r w:rsidRPr="008D34F3">
        <w:fldChar w:fldCharType="begin"/>
      </w:r>
      <w:r w:rsidRPr="008D34F3">
        <w:instrText xml:space="preserve"> REF _Ref95207596 \r \h  \* MERGEFORMAT </w:instrText>
      </w:r>
      <w:r w:rsidRPr="008D34F3">
        <w:fldChar w:fldCharType="separate"/>
      </w:r>
      <w:r w:rsidR="00FE7ECB">
        <w:t>[1]</w:t>
      </w:r>
      <w:r w:rsidRPr="008D34F3">
        <w:fldChar w:fldCharType="end"/>
      </w:r>
      <w:r w:rsidRPr="008D34F3">
        <w:t>):</w:t>
      </w:r>
    </w:p>
    <w:p w14:paraId="0D148E3C" w14:textId="77777777" w:rsidR="00104032" w:rsidRPr="008276A5" w:rsidRDefault="00104032" w:rsidP="00104032">
      <w:pPr>
        <w:pStyle w:val="BodyText"/>
        <w:ind w:left="567"/>
        <w:rPr>
          <w:i/>
          <w:iCs/>
        </w:rPr>
      </w:pPr>
      <w:r w:rsidRPr="008276A5">
        <w:rPr>
          <w:i/>
          <w:iCs/>
        </w:rPr>
        <w:t>Editor’s Note: need to discuss whether CPA configuration can be used to configure NGEN-DC.</w:t>
      </w:r>
    </w:p>
    <w:p w14:paraId="2CAE3A34" w14:textId="77777777" w:rsidR="003B0513" w:rsidRDefault="00104032" w:rsidP="003B0513">
      <w:pPr>
        <w:pStyle w:val="BodyText"/>
      </w:pPr>
      <w:r>
        <w:t>Considering that LTE/5GC is not supported for CHO and Rel-16 CPC, we think that there would just be additional confusion and complexity to add support for it in Rel-17 CPAC. We thus propose to not support CPAC for LTE/5GC (i.e. NGEN-DC).</w:t>
      </w:r>
      <w:r w:rsidR="003B0513">
        <w:t xml:space="preserve"> This can then be captured in the specifications by updating the existing sentence in 37.340 to indicate that the restrictions are also applicable for Conditional PSCell Addition, and by updating the corresponding sentences that have been added in the draft CR in </w:t>
      </w:r>
      <w:r w:rsidR="003B0513">
        <w:fldChar w:fldCharType="begin"/>
      </w:r>
      <w:r w:rsidR="003B0513">
        <w:instrText xml:space="preserve"> REF _Ref95207596 \r \h </w:instrText>
      </w:r>
      <w:r w:rsidR="003B0513">
        <w:fldChar w:fldCharType="separate"/>
      </w:r>
      <w:r w:rsidR="003B0513">
        <w:t>[1]</w:t>
      </w:r>
      <w:r w:rsidR="003B0513">
        <w:fldChar w:fldCharType="end"/>
      </w:r>
      <w:r w:rsidR="003B0513">
        <w:t>. A Text Proposal capturing this is included in the Annex and it is proposed to include this Text Proposal in the running CR to TS 37.340.</w:t>
      </w:r>
    </w:p>
    <w:p w14:paraId="0F6323A6" w14:textId="77777777" w:rsidR="00104032" w:rsidRDefault="00104032" w:rsidP="00104032">
      <w:pPr>
        <w:pStyle w:val="Proposal"/>
      </w:pPr>
      <w:bookmarkStart w:id="27" w:name="_Toc95317029"/>
      <w:bookmarkStart w:id="28" w:name="_Toc95507725"/>
      <w:bookmarkStart w:id="29" w:name="_Toc95765058"/>
      <w:r>
        <w:t>CPAC is not supported for NGEN-DC in Rel-17.</w:t>
      </w:r>
      <w:bookmarkEnd w:id="27"/>
      <w:bookmarkEnd w:id="28"/>
      <w:bookmarkEnd w:id="29"/>
    </w:p>
    <w:p w14:paraId="378463BD" w14:textId="77777777" w:rsidR="00104032" w:rsidRDefault="00104032" w:rsidP="00104032">
      <w:pPr>
        <w:pStyle w:val="Proposal"/>
      </w:pPr>
      <w:bookmarkStart w:id="30" w:name="_Toc95317030"/>
      <w:bookmarkStart w:id="31" w:name="_Toc95507726"/>
      <w:bookmarkStart w:id="32" w:name="_Toc95765059"/>
      <w:r>
        <w:t>The Text Proposal in the Annex should be included in the running CR to TS 37.340.</w:t>
      </w:r>
      <w:bookmarkEnd w:id="30"/>
      <w:bookmarkEnd w:id="31"/>
      <w:bookmarkEnd w:id="32"/>
    </w:p>
    <w:p w14:paraId="7AC6D64A" w14:textId="46CCECC5" w:rsidR="00104032" w:rsidRDefault="00104032" w:rsidP="0091754F">
      <w:pPr>
        <w:pStyle w:val="BodyText"/>
      </w:pPr>
    </w:p>
    <w:p w14:paraId="199DD507" w14:textId="24419A8D" w:rsidR="00925559" w:rsidRDefault="00925559" w:rsidP="00E47DAC">
      <w:pPr>
        <w:pStyle w:val="Heading2"/>
        <w:rPr>
          <w:highlight w:val="yellow"/>
        </w:rPr>
      </w:pPr>
      <w:r w:rsidRPr="008E3D36">
        <w:t>2.</w:t>
      </w:r>
      <w:r w:rsidR="008B4B04" w:rsidRPr="008E3D36">
        <w:t>4</w:t>
      </w:r>
      <w:r w:rsidRPr="00D6712D">
        <w:tab/>
      </w:r>
      <w:r w:rsidR="00104032">
        <w:t>Provision of execution conditions from S-SN to MN</w:t>
      </w:r>
    </w:p>
    <w:p w14:paraId="17DDA9B8" w14:textId="77777777" w:rsidR="00862A67" w:rsidRDefault="005C3CFF" w:rsidP="00925559">
      <w:pPr>
        <w:pStyle w:val="BodyText"/>
      </w:pPr>
      <w:r>
        <w:t xml:space="preserve">There have been some discussions for SN initiated inter-SN CPC regarding whether the execution conditions should always be sent from the source SN to the MN in the first message (the SN Change Required) or whether they can be sent only in the second part of the procedure. It </w:t>
      </w:r>
      <w:r w:rsidR="00104032">
        <w:t>has been</w:t>
      </w:r>
      <w:r w:rsidR="000623C0">
        <w:t xml:space="preserve"> agreed </w:t>
      </w:r>
      <w:r>
        <w:t>that the second part of the procedure can be skipped by the MN</w:t>
      </w:r>
      <w:r w:rsidR="006722B5">
        <w:t xml:space="preserve"> based on network implementation</w:t>
      </w:r>
      <w:r w:rsidR="000623C0">
        <w:t>. T</w:t>
      </w:r>
      <w:r>
        <w:t xml:space="preserve">his </w:t>
      </w:r>
      <w:r w:rsidR="000623C0">
        <w:t xml:space="preserve">however </w:t>
      </w:r>
      <w:r>
        <w:t>requires that the needed configuration, including the execution conditions</w:t>
      </w:r>
      <w:r w:rsidR="006722B5">
        <w:t xml:space="preserve"> and the corresponding measConfig</w:t>
      </w:r>
      <w:r>
        <w:t xml:space="preserve">, </w:t>
      </w:r>
      <w:r w:rsidR="006722B5">
        <w:t xml:space="preserve">then </w:t>
      </w:r>
      <w:r>
        <w:t>is available</w:t>
      </w:r>
      <w:r w:rsidR="000623C0">
        <w:t xml:space="preserve"> in the MN</w:t>
      </w:r>
      <w:r w:rsidR="006722B5">
        <w:t xml:space="preserve"> for UE configuration</w:t>
      </w:r>
      <w:r>
        <w:t>.</w:t>
      </w:r>
    </w:p>
    <w:p w14:paraId="47E5401D" w14:textId="7FC73232" w:rsidR="005C3CFF" w:rsidRDefault="005C3CFF" w:rsidP="00925559">
      <w:pPr>
        <w:pStyle w:val="BodyText"/>
      </w:pPr>
      <w:r>
        <w:t xml:space="preserve">Based on this we therefore think that the execution conditions </w:t>
      </w:r>
      <w:r w:rsidR="006722B5">
        <w:t>and the corresponding measConfig</w:t>
      </w:r>
      <w:r>
        <w:t xml:space="preserve"> always </w:t>
      </w:r>
      <w:r w:rsidR="006722B5">
        <w:t xml:space="preserve">should </w:t>
      </w:r>
      <w:r>
        <w:t>be sent by the source SN to the MN in the SN Change Required message. In the second part of the procedure</w:t>
      </w:r>
      <w:r w:rsidR="000623C0">
        <w:t>,</w:t>
      </w:r>
      <w:r>
        <w:t xml:space="preserve"> it is then optional </w:t>
      </w:r>
      <w:r w:rsidR="000623C0">
        <w:t xml:space="preserve">to include </w:t>
      </w:r>
      <w:r>
        <w:t xml:space="preserve">execution conditions </w:t>
      </w:r>
      <w:r w:rsidR="00104032">
        <w:t>and</w:t>
      </w:r>
      <w:r w:rsidR="000623C0">
        <w:t xml:space="preserve"> </w:t>
      </w:r>
      <w:r w:rsidR="009405DF">
        <w:t xml:space="preserve">the execution conditions field </w:t>
      </w:r>
      <w:r w:rsidR="000623C0">
        <w:t xml:space="preserve">should </w:t>
      </w:r>
      <w:r w:rsidR="009405DF">
        <w:t xml:space="preserve">thus </w:t>
      </w:r>
      <w:r w:rsidR="000623C0">
        <w:t xml:space="preserve">still be </w:t>
      </w:r>
      <w:r w:rsidR="009405DF">
        <w:t>optional in the message.</w:t>
      </w:r>
    </w:p>
    <w:p w14:paraId="7945FAB9" w14:textId="46ACB38E" w:rsidR="005C3CFF" w:rsidRPr="009405DF" w:rsidRDefault="005C3CFF" w:rsidP="005C3CFF">
      <w:pPr>
        <w:pStyle w:val="Proposal"/>
      </w:pPr>
      <w:bookmarkStart w:id="33" w:name="_Toc90664213"/>
      <w:bookmarkStart w:id="34" w:name="_Toc95317031"/>
      <w:bookmarkStart w:id="35" w:name="_Toc95507727"/>
      <w:bookmarkStart w:id="36" w:name="_Toc95765060"/>
      <w:r w:rsidRPr="009405DF">
        <w:t xml:space="preserve">The </w:t>
      </w:r>
      <w:r w:rsidR="009405DF" w:rsidRPr="009405DF">
        <w:t xml:space="preserve">execution conditions </w:t>
      </w:r>
      <w:r w:rsidR="00C46E11">
        <w:t xml:space="preserve">and corresponding </w:t>
      </w:r>
      <w:r w:rsidR="00C46E11" w:rsidRPr="008B7FF6">
        <w:rPr>
          <w:i/>
        </w:rPr>
        <w:t>measConfig</w:t>
      </w:r>
      <w:r w:rsidR="008B7FF6">
        <w:t xml:space="preserve"> </w:t>
      </w:r>
      <w:r w:rsidR="009405DF" w:rsidRPr="009405DF">
        <w:t>should always be included in the first message (SN Change Required) from the S-SN to the MN at SN initiated inter-SN CPC</w:t>
      </w:r>
      <w:r w:rsidRPr="009405DF">
        <w:t>.</w:t>
      </w:r>
      <w:bookmarkEnd w:id="33"/>
      <w:bookmarkEnd w:id="34"/>
      <w:bookmarkEnd w:id="35"/>
      <w:bookmarkEnd w:id="36"/>
    </w:p>
    <w:p w14:paraId="6F5C31AF" w14:textId="77777777" w:rsidR="005C3CFF" w:rsidRPr="00581572" w:rsidRDefault="005C3CFF" w:rsidP="00925559">
      <w:pPr>
        <w:pStyle w:val="BodyText"/>
      </w:pPr>
    </w:p>
    <w:p w14:paraId="23BD68D6" w14:textId="77777777" w:rsidR="00C01F33" w:rsidRPr="00CE0424" w:rsidRDefault="00C01F33" w:rsidP="00CE0424">
      <w:pPr>
        <w:pStyle w:val="Heading1"/>
      </w:pPr>
      <w:r w:rsidRPr="00CE0424">
        <w:t>Conclusion</w:t>
      </w:r>
    </w:p>
    <w:p w14:paraId="23A982FB" w14:textId="77777777" w:rsidR="000859EA" w:rsidRDefault="000859EA" w:rsidP="000859EA">
      <w:pPr>
        <w:pStyle w:val="BodyText"/>
        <w:rPr>
          <w:b/>
          <w:bCs/>
        </w:rPr>
      </w:pPr>
      <w:r>
        <w:t>In the previous sections</w:t>
      </w:r>
      <w:r w:rsidRPr="00CE0424">
        <w:t xml:space="preserve"> we </w:t>
      </w:r>
      <w:r>
        <w:t>made the following observations</w:t>
      </w:r>
      <w:r w:rsidRPr="00CE0424">
        <w:t>:</w:t>
      </w:r>
      <w:r>
        <w:rPr>
          <w:b/>
          <w:bCs/>
        </w:rPr>
        <w:t xml:space="preserve"> </w:t>
      </w:r>
    </w:p>
    <w:p w14:paraId="410C3202" w14:textId="02790BF4" w:rsidR="00DC64EC" w:rsidRDefault="000859E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lastRenderedPageBreak/>
        <w:fldChar w:fldCharType="begin"/>
      </w:r>
      <w:r>
        <w:rPr>
          <w:bCs/>
        </w:rPr>
        <w:instrText xml:space="preserve"> TOC \f O \n \h \z \t "Observation" \c </w:instrText>
      </w:r>
      <w:r>
        <w:rPr>
          <w:b w:val="0"/>
          <w:bCs/>
        </w:rPr>
        <w:fldChar w:fldCharType="separate"/>
      </w:r>
      <w:hyperlink w:anchor="_Toc95765044" w:history="1">
        <w:r w:rsidR="00DC64EC" w:rsidRPr="005F59CE">
          <w:rPr>
            <w:rStyle w:val="Hyperlink"/>
            <w:noProof/>
          </w:rPr>
          <w:t>Observation 1</w:t>
        </w:r>
        <w:r w:rsidR="00DC64EC">
          <w:rPr>
            <w:rFonts w:asciiTheme="minorHAnsi" w:eastAsiaTheme="minorEastAsia" w:hAnsiTheme="minorHAnsi" w:cstheme="minorBidi"/>
            <w:b w:val="0"/>
            <w:noProof/>
            <w:sz w:val="22"/>
            <w:szCs w:val="22"/>
            <w:lang w:val="sv-SE" w:eastAsia="sv-SE"/>
          </w:rPr>
          <w:tab/>
        </w:r>
        <w:r w:rsidR="00DC64EC" w:rsidRPr="005F59CE">
          <w:rPr>
            <w:rStyle w:val="Hyperlink"/>
            <w:noProof/>
          </w:rPr>
          <w:t>In order to support a simultaneous configuration of Rel-16 CPC and Rel-17 MN-initiated CPC there is either a need for MN/SN inter-node coordination to control the number of simultaneous conditional reconfigurations, or a UE that supports both features would need to support the maximum number of CPC configurations for each of the two features simultaneously (i.e. 8 + 8 = 16 simultaneous CPC reconfigurations).</w:t>
        </w:r>
      </w:hyperlink>
    </w:p>
    <w:p w14:paraId="0BE75AFC" w14:textId="509EF768" w:rsidR="00DC64EC" w:rsidRDefault="00DC64E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5045" w:history="1">
        <w:r w:rsidRPr="005F59CE">
          <w:rPr>
            <w:rStyle w:val="Hyperlink"/>
            <w:noProof/>
          </w:rPr>
          <w:t>Observation 2</w:t>
        </w:r>
        <w:r>
          <w:rPr>
            <w:rFonts w:asciiTheme="minorHAnsi" w:eastAsiaTheme="minorEastAsia" w:hAnsiTheme="minorHAnsi" w:cstheme="minorBidi"/>
            <w:b w:val="0"/>
            <w:noProof/>
            <w:sz w:val="22"/>
            <w:szCs w:val="22"/>
            <w:lang w:val="sv-SE" w:eastAsia="sv-SE"/>
          </w:rPr>
          <w:tab/>
        </w:r>
        <w:r w:rsidRPr="005F59CE">
          <w:rPr>
            <w:rStyle w:val="Hyperlink"/>
            <w:noProof/>
          </w:rPr>
          <w:t>In case of simultaneous Rel-16 CPC and Rel-17 CPC configurations, the CPC configurations for both types would need to released by the UE in case of any CPC execution. For the combination of Rel-16 CPC and Rel-17 MN-initiated CPC, there would then be a need for a new mechanism where the S-SN, in case of Rel-16 CPC execution, somehow triggers the MN to release all the MN-initiated CPC configurations.</w:t>
        </w:r>
      </w:hyperlink>
    </w:p>
    <w:p w14:paraId="459A2A5F" w14:textId="20099CD5" w:rsidR="00DC64EC" w:rsidRDefault="00DC64E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5046" w:history="1">
        <w:r w:rsidRPr="005F59CE">
          <w:rPr>
            <w:rStyle w:val="Hyperlink"/>
            <w:noProof/>
          </w:rPr>
          <w:t>Observation 3</w:t>
        </w:r>
        <w:r>
          <w:rPr>
            <w:rFonts w:asciiTheme="minorHAnsi" w:eastAsiaTheme="minorEastAsia" w:hAnsiTheme="minorHAnsi" w:cstheme="minorBidi"/>
            <w:b w:val="0"/>
            <w:noProof/>
            <w:sz w:val="22"/>
            <w:szCs w:val="22"/>
            <w:lang w:val="sv-SE" w:eastAsia="sv-SE"/>
          </w:rPr>
          <w:tab/>
        </w:r>
        <w:r w:rsidRPr="005F59CE">
          <w:rPr>
            <w:rStyle w:val="Hyperlink"/>
            <w:noProof/>
          </w:rPr>
          <w:t>Just combining the Rel-16 intra-SN CPC and the Rel-17 inter-SN CPC would lead to that CPC configurations that include MCG updates is only possible for inter-SN PSCell candidates, whereas CPC configurations for intra-SN PSCell candidates cannot include any MCG updates.</w:t>
        </w:r>
      </w:hyperlink>
    </w:p>
    <w:p w14:paraId="46585A86" w14:textId="3E96F955" w:rsidR="00DC64EC" w:rsidRDefault="00DC64E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5047" w:history="1">
        <w:r w:rsidRPr="005F59CE">
          <w:rPr>
            <w:rStyle w:val="Hyperlink"/>
            <w:noProof/>
          </w:rPr>
          <w:t>Observation 4</w:t>
        </w:r>
        <w:r>
          <w:rPr>
            <w:rFonts w:asciiTheme="minorHAnsi" w:eastAsiaTheme="minorEastAsia" w:hAnsiTheme="minorHAnsi" w:cstheme="minorBidi"/>
            <w:b w:val="0"/>
            <w:noProof/>
            <w:sz w:val="22"/>
            <w:szCs w:val="22"/>
            <w:lang w:val="sv-SE" w:eastAsia="sv-SE"/>
          </w:rPr>
          <w:tab/>
        </w:r>
        <w:r w:rsidRPr="005F59CE">
          <w:rPr>
            <w:rStyle w:val="Hyperlink"/>
            <w:noProof/>
          </w:rPr>
          <w:t>To support a simultaneous configuration of CHO and Rel-16 CPC there would either be a need for an MN/SN coordination about the number of conditional reconfigurations that the respective node can configure, or that the UE can be configured with the maximum number of conditional reconfigurations for both features simultaneously (i.e. 8 + 8 = 16).</w:t>
        </w:r>
      </w:hyperlink>
    </w:p>
    <w:p w14:paraId="4695A29E" w14:textId="21B19C89" w:rsidR="00DC64EC" w:rsidRDefault="00DC64E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5048" w:history="1">
        <w:r w:rsidRPr="005F59CE">
          <w:rPr>
            <w:rStyle w:val="Hyperlink"/>
            <w:noProof/>
          </w:rPr>
          <w:t>Observation 5</w:t>
        </w:r>
        <w:r>
          <w:rPr>
            <w:rFonts w:asciiTheme="minorHAnsi" w:eastAsiaTheme="minorEastAsia" w:hAnsiTheme="minorHAnsi" w:cstheme="minorBidi"/>
            <w:b w:val="0"/>
            <w:noProof/>
            <w:sz w:val="22"/>
            <w:szCs w:val="22"/>
            <w:lang w:val="sv-SE" w:eastAsia="sv-SE"/>
          </w:rPr>
          <w:tab/>
        </w:r>
        <w:r w:rsidRPr="005F59CE">
          <w:rPr>
            <w:rStyle w:val="Hyperlink"/>
            <w:noProof/>
          </w:rPr>
          <w:t>To support a simultaneous configuration of CHO and Rel-16 CPC there would be a need for a new mechanism to inform the MN about successful execution of a Rel-16 CPC, e.g. by sending a new indication from the SN to the MN.</w:t>
        </w:r>
      </w:hyperlink>
    </w:p>
    <w:p w14:paraId="758C5C5D" w14:textId="5E9E2124" w:rsidR="00DC64EC" w:rsidRDefault="00DC64E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5049" w:history="1">
        <w:r w:rsidRPr="005F59CE">
          <w:rPr>
            <w:rStyle w:val="Hyperlink"/>
            <w:noProof/>
          </w:rPr>
          <w:t>Observation 6</w:t>
        </w:r>
        <w:r>
          <w:rPr>
            <w:rFonts w:asciiTheme="minorHAnsi" w:eastAsiaTheme="minorEastAsia" w:hAnsiTheme="minorHAnsi" w:cstheme="minorBidi"/>
            <w:b w:val="0"/>
            <w:noProof/>
            <w:sz w:val="22"/>
            <w:szCs w:val="22"/>
            <w:lang w:val="sv-SE" w:eastAsia="sv-SE"/>
          </w:rPr>
          <w:tab/>
        </w:r>
        <w:r w:rsidRPr="005F59CE">
          <w:rPr>
            <w:rStyle w:val="Hyperlink"/>
            <w:noProof/>
          </w:rPr>
          <w:t>To support a simultaneous configuration of CHO and Rel-16 CPC there would be a need for a corresponding UE capability indication so that the network knows whether the UE supports the simultaneous configuration or not.</w:t>
        </w:r>
      </w:hyperlink>
    </w:p>
    <w:p w14:paraId="38D021B2" w14:textId="4BE8E7AA" w:rsidR="000859EA" w:rsidRDefault="000859EA" w:rsidP="006E1C82">
      <w:pPr>
        <w:pStyle w:val="BodyText"/>
      </w:pPr>
      <w:r>
        <w:rPr>
          <w:b/>
          <w:bCs/>
        </w:rPr>
        <w:fldChar w:fldCharType="end"/>
      </w:r>
    </w:p>
    <w:p w14:paraId="494772ED" w14:textId="3C1CD2CF"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37" w:name="_GoBack"/>
    <w:bookmarkEnd w:id="37"/>
    <w:p w14:paraId="2744F283" w14:textId="44814D5E" w:rsidR="00DC64E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65050" w:history="1">
        <w:r w:rsidR="00DC64EC" w:rsidRPr="00F971E4">
          <w:rPr>
            <w:rStyle w:val="Hyperlink"/>
            <w:noProof/>
          </w:rPr>
          <w:t>Proposal 1</w:t>
        </w:r>
        <w:r w:rsidR="00DC64EC">
          <w:rPr>
            <w:rFonts w:asciiTheme="minorHAnsi" w:eastAsiaTheme="minorEastAsia" w:hAnsiTheme="minorHAnsi" w:cstheme="minorBidi"/>
            <w:b w:val="0"/>
            <w:noProof/>
            <w:sz w:val="22"/>
            <w:szCs w:val="22"/>
            <w:lang w:val="sv-SE" w:eastAsia="sv-SE"/>
          </w:rPr>
          <w:tab/>
        </w:r>
        <w:r w:rsidR="00DC64EC" w:rsidRPr="00F971E4">
          <w:rPr>
            <w:rStyle w:val="Hyperlink"/>
            <w:noProof/>
          </w:rPr>
          <w:t>It should be possible to configure the UE with CPC including target candidates associated to the S-SN and to other target candidate SN(s) simultaneously.</w:t>
        </w:r>
      </w:hyperlink>
    </w:p>
    <w:p w14:paraId="1B186090" w14:textId="2427B6DB" w:rsidR="00DC64EC" w:rsidRDefault="00DC64E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5051" w:history="1">
        <w:r w:rsidRPr="00F971E4">
          <w:rPr>
            <w:rStyle w:val="Hyperlink"/>
            <w:noProof/>
          </w:rPr>
          <w:t>Proposal 2</w:t>
        </w:r>
        <w:r>
          <w:rPr>
            <w:rFonts w:asciiTheme="minorHAnsi" w:eastAsiaTheme="minorEastAsia" w:hAnsiTheme="minorHAnsi" w:cstheme="minorBidi"/>
            <w:b w:val="0"/>
            <w:noProof/>
            <w:sz w:val="22"/>
            <w:szCs w:val="22"/>
            <w:lang w:val="sv-SE" w:eastAsia="sv-SE"/>
          </w:rPr>
          <w:tab/>
        </w:r>
        <w:r w:rsidRPr="00F971E4">
          <w:rPr>
            <w:rStyle w:val="Hyperlink"/>
            <w:noProof/>
          </w:rPr>
          <w:t>Additional MN/SN inter-node coordination to support the combination of Rel-16 CPC and Rel-17 CPC should be minimized in Rel-17.</w:t>
        </w:r>
      </w:hyperlink>
    </w:p>
    <w:p w14:paraId="113D270B" w14:textId="3AD8C254" w:rsidR="00DC64EC" w:rsidRDefault="00DC64E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5052" w:history="1">
        <w:r w:rsidRPr="00F971E4">
          <w:rPr>
            <w:rStyle w:val="Hyperlink"/>
            <w:noProof/>
          </w:rPr>
          <w:t>Proposal 3</w:t>
        </w:r>
        <w:r>
          <w:rPr>
            <w:rFonts w:asciiTheme="minorHAnsi" w:eastAsiaTheme="minorEastAsia" w:hAnsiTheme="minorHAnsi" w:cstheme="minorBidi"/>
            <w:b w:val="0"/>
            <w:noProof/>
            <w:sz w:val="22"/>
            <w:szCs w:val="22"/>
            <w:lang w:val="sv-SE" w:eastAsia="sv-SE"/>
          </w:rPr>
          <w:tab/>
        </w:r>
        <w:r w:rsidRPr="00F971E4">
          <w:rPr>
            <w:rStyle w:val="Hyperlink"/>
            <w:noProof/>
          </w:rPr>
          <w:t>Simultaneous configuration of Rel-16 CPC and Rel-17 MN-initiated CPC should not be supported.</w:t>
        </w:r>
      </w:hyperlink>
    </w:p>
    <w:p w14:paraId="720F8358" w14:textId="352B822B" w:rsidR="00DC64EC" w:rsidRDefault="00DC64E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5053" w:history="1">
        <w:r w:rsidRPr="00F971E4">
          <w:rPr>
            <w:rStyle w:val="Hyperlink"/>
            <w:noProof/>
          </w:rPr>
          <w:t>Proposal 4</w:t>
        </w:r>
        <w:r>
          <w:rPr>
            <w:rFonts w:asciiTheme="minorHAnsi" w:eastAsiaTheme="minorEastAsia" w:hAnsiTheme="minorHAnsi" w:cstheme="minorBidi"/>
            <w:b w:val="0"/>
            <w:noProof/>
            <w:sz w:val="22"/>
            <w:szCs w:val="22"/>
            <w:lang w:val="sv-SE" w:eastAsia="sv-SE"/>
          </w:rPr>
          <w:tab/>
        </w:r>
        <w:r w:rsidRPr="00F971E4">
          <w:rPr>
            <w:rStyle w:val="Hyperlink"/>
            <w:noProof/>
          </w:rPr>
          <w:t>Simultaneous configuration of Rel-16 CPC and Rel-17 SN-initiated CPC should be supported.</w:t>
        </w:r>
      </w:hyperlink>
    </w:p>
    <w:p w14:paraId="582EC991" w14:textId="29DEB79E" w:rsidR="00DC64EC" w:rsidRDefault="00DC64E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5054" w:history="1">
        <w:r w:rsidRPr="00F971E4">
          <w:rPr>
            <w:rStyle w:val="Hyperlink"/>
            <w:noProof/>
          </w:rPr>
          <w:t>Proposal 5</w:t>
        </w:r>
        <w:r>
          <w:rPr>
            <w:rFonts w:asciiTheme="minorHAnsi" w:eastAsiaTheme="minorEastAsia" w:hAnsiTheme="minorHAnsi" w:cstheme="minorBidi"/>
            <w:b w:val="0"/>
            <w:noProof/>
            <w:sz w:val="22"/>
            <w:szCs w:val="22"/>
            <w:lang w:val="sv-SE" w:eastAsia="sv-SE"/>
          </w:rPr>
          <w:tab/>
        </w:r>
        <w:r w:rsidRPr="00F971E4">
          <w:rPr>
            <w:rStyle w:val="Hyperlink"/>
            <w:noProof/>
          </w:rPr>
          <w:t>It should be possible to configure the UE with intra-SN CPC, which includes updates to the MCG configuration.</w:t>
        </w:r>
      </w:hyperlink>
    </w:p>
    <w:p w14:paraId="15F7B098" w14:textId="39944D60" w:rsidR="00DC64EC" w:rsidRDefault="00DC64E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5055" w:history="1">
        <w:r w:rsidRPr="00F971E4">
          <w:rPr>
            <w:rStyle w:val="Hyperlink"/>
            <w:noProof/>
          </w:rPr>
          <w:t>Proposal 6</w:t>
        </w:r>
        <w:r>
          <w:rPr>
            <w:rFonts w:asciiTheme="minorHAnsi" w:eastAsiaTheme="minorEastAsia" w:hAnsiTheme="minorHAnsi" w:cstheme="minorBidi"/>
            <w:b w:val="0"/>
            <w:noProof/>
            <w:sz w:val="22"/>
            <w:szCs w:val="22"/>
            <w:lang w:val="sv-SE" w:eastAsia="sv-SE"/>
          </w:rPr>
          <w:tab/>
        </w:r>
        <w:r w:rsidRPr="00F971E4">
          <w:rPr>
            <w:rStyle w:val="Hyperlink"/>
            <w:noProof/>
          </w:rPr>
          <w:t>Intra-SN PSCell candidates should be supported in the Rel-17 CPC solution.</w:t>
        </w:r>
      </w:hyperlink>
    </w:p>
    <w:p w14:paraId="5A3E86CB" w14:textId="23F0E2A5" w:rsidR="00DC64EC" w:rsidRDefault="00DC64E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5056" w:history="1">
        <w:r w:rsidRPr="00F971E4">
          <w:rPr>
            <w:rStyle w:val="Hyperlink"/>
            <w:noProof/>
          </w:rPr>
          <w:t>Proposal 7</w:t>
        </w:r>
        <w:r>
          <w:rPr>
            <w:rFonts w:asciiTheme="minorHAnsi" w:eastAsiaTheme="minorEastAsia" w:hAnsiTheme="minorHAnsi" w:cstheme="minorBidi"/>
            <w:b w:val="0"/>
            <w:noProof/>
            <w:sz w:val="22"/>
            <w:szCs w:val="22"/>
            <w:lang w:val="sv-SE" w:eastAsia="sv-SE"/>
          </w:rPr>
          <w:tab/>
        </w:r>
        <w:r w:rsidRPr="00F971E4">
          <w:rPr>
            <w:rStyle w:val="Hyperlink"/>
            <w:noProof/>
          </w:rPr>
          <w:t>Configuration of CHO and Rel-16 CPC simultaneously should not be supported in Rel-17 (i.e. just as in Rel-16).</w:t>
        </w:r>
      </w:hyperlink>
    </w:p>
    <w:p w14:paraId="2BC5EFD7" w14:textId="37FACAB3" w:rsidR="00DC64EC" w:rsidRDefault="00DC64E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5057" w:history="1">
        <w:r w:rsidRPr="00F971E4">
          <w:rPr>
            <w:rStyle w:val="Hyperlink"/>
            <w:noProof/>
          </w:rPr>
          <w:t>Proposal 8</w:t>
        </w:r>
        <w:r>
          <w:rPr>
            <w:rFonts w:asciiTheme="minorHAnsi" w:eastAsiaTheme="minorEastAsia" w:hAnsiTheme="minorHAnsi" w:cstheme="minorBidi"/>
            <w:b w:val="0"/>
            <w:noProof/>
            <w:sz w:val="22"/>
            <w:szCs w:val="22"/>
            <w:lang w:val="sv-SE" w:eastAsia="sv-SE"/>
          </w:rPr>
          <w:tab/>
        </w:r>
        <w:r w:rsidRPr="00F971E4">
          <w:rPr>
            <w:rStyle w:val="Hyperlink"/>
            <w:noProof/>
          </w:rPr>
          <w:t>Configuration of CHO and Rel-17 CPAC simultaneously should be supported.</w:t>
        </w:r>
      </w:hyperlink>
    </w:p>
    <w:p w14:paraId="638ED9A1" w14:textId="2DD0E4D2" w:rsidR="00DC64EC" w:rsidRDefault="00DC64E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5058" w:history="1">
        <w:r w:rsidRPr="00F971E4">
          <w:rPr>
            <w:rStyle w:val="Hyperlink"/>
            <w:noProof/>
          </w:rPr>
          <w:t>Proposal 9</w:t>
        </w:r>
        <w:r>
          <w:rPr>
            <w:rFonts w:asciiTheme="minorHAnsi" w:eastAsiaTheme="minorEastAsia" w:hAnsiTheme="minorHAnsi" w:cstheme="minorBidi"/>
            <w:b w:val="0"/>
            <w:noProof/>
            <w:sz w:val="22"/>
            <w:szCs w:val="22"/>
            <w:lang w:val="sv-SE" w:eastAsia="sv-SE"/>
          </w:rPr>
          <w:tab/>
        </w:r>
        <w:r w:rsidRPr="00F971E4">
          <w:rPr>
            <w:rStyle w:val="Hyperlink"/>
            <w:noProof/>
          </w:rPr>
          <w:t>CPAC is not supported for NGEN-DC in Rel-17.</w:t>
        </w:r>
      </w:hyperlink>
    </w:p>
    <w:p w14:paraId="7A3FDD1C" w14:textId="5A4A21B2" w:rsidR="00DC64EC" w:rsidRDefault="00DC64E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5059" w:history="1">
        <w:r w:rsidRPr="00F971E4">
          <w:rPr>
            <w:rStyle w:val="Hyperlink"/>
            <w:noProof/>
          </w:rPr>
          <w:t>Proposal 10</w:t>
        </w:r>
        <w:r>
          <w:rPr>
            <w:rFonts w:asciiTheme="minorHAnsi" w:eastAsiaTheme="minorEastAsia" w:hAnsiTheme="minorHAnsi" w:cstheme="minorBidi"/>
            <w:b w:val="0"/>
            <w:noProof/>
            <w:sz w:val="22"/>
            <w:szCs w:val="22"/>
            <w:lang w:val="sv-SE" w:eastAsia="sv-SE"/>
          </w:rPr>
          <w:tab/>
        </w:r>
        <w:r w:rsidRPr="00F971E4">
          <w:rPr>
            <w:rStyle w:val="Hyperlink"/>
            <w:noProof/>
          </w:rPr>
          <w:t>The Text Proposal in the Annex should be included in the running CR to TS 37.340.</w:t>
        </w:r>
      </w:hyperlink>
    </w:p>
    <w:p w14:paraId="7F128363" w14:textId="15B6E91B" w:rsidR="00DC64EC" w:rsidRDefault="00DC64E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65060" w:history="1">
        <w:r w:rsidRPr="00F971E4">
          <w:rPr>
            <w:rStyle w:val="Hyperlink"/>
            <w:noProof/>
          </w:rPr>
          <w:t>Proposal 11</w:t>
        </w:r>
        <w:r>
          <w:rPr>
            <w:rFonts w:asciiTheme="minorHAnsi" w:eastAsiaTheme="minorEastAsia" w:hAnsiTheme="minorHAnsi" w:cstheme="minorBidi"/>
            <w:b w:val="0"/>
            <w:noProof/>
            <w:sz w:val="22"/>
            <w:szCs w:val="22"/>
            <w:lang w:val="sv-SE" w:eastAsia="sv-SE"/>
          </w:rPr>
          <w:tab/>
        </w:r>
        <w:r w:rsidRPr="00F971E4">
          <w:rPr>
            <w:rStyle w:val="Hyperlink"/>
            <w:noProof/>
          </w:rPr>
          <w:t xml:space="preserve">The execution conditions and corresponding </w:t>
        </w:r>
        <w:r w:rsidRPr="00F971E4">
          <w:rPr>
            <w:rStyle w:val="Hyperlink"/>
            <w:i/>
            <w:noProof/>
          </w:rPr>
          <w:t>measConfig</w:t>
        </w:r>
        <w:r w:rsidRPr="00F971E4">
          <w:rPr>
            <w:rStyle w:val="Hyperlink"/>
            <w:noProof/>
          </w:rPr>
          <w:t xml:space="preserve"> should always be included in the first message (SN Change Required) from the S-SN to the MN at SN initiated inter-SN CPC.</w:t>
        </w:r>
      </w:hyperlink>
    </w:p>
    <w:p w14:paraId="555F807E" w14:textId="1D5D81B0" w:rsidR="00C01F33" w:rsidRPr="006A4E04" w:rsidRDefault="006E1C82" w:rsidP="006A4E04">
      <w:pPr>
        <w:pStyle w:val="BodyText"/>
        <w:rPr>
          <w:b/>
          <w:bCs/>
        </w:rPr>
      </w:pPr>
      <w:r>
        <w:rPr>
          <w:b/>
          <w:bCs/>
          <w:lang w:val="en-US"/>
        </w:rPr>
        <w:fldChar w:fldCharType="end"/>
      </w:r>
    </w:p>
    <w:p w14:paraId="4BD14594" w14:textId="77777777" w:rsidR="00F507D1" w:rsidRPr="00CE0424" w:rsidRDefault="00F507D1" w:rsidP="00CE0424">
      <w:pPr>
        <w:pStyle w:val="Heading1"/>
      </w:pPr>
      <w:bookmarkStart w:id="38" w:name="_In-sequence_SDU_delivery"/>
      <w:bookmarkEnd w:id="38"/>
      <w:r w:rsidRPr="00CE0424">
        <w:lastRenderedPageBreak/>
        <w:t>References</w:t>
      </w:r>
    </w:p>
    <w:p w14:paraId="560B8ADA" w14:textId="3C517367" w:rsidR="00523744" w:rsidRPr="00776183" w:rsidRDefault="00523744" w:rsidP="00523744">
      <w:pPr>
        <w:pStyle w:val="Reference"/>
      </w:pPr>
      <w:bookmarkStart w:id="39" w:name="_Ref89890653"/>
      <w:bookmarkStart w:id="40" w:name="_Ref89890411"/>
      <w:bookmarkStart w:id="41" w:name="_Ref89890576"/>
      <w:bookmarkStart w:id="42" w:name="_Ref95207596"/>
      <w:r w:rsidRPr="00615763">
        <w:t>R2-</w:t>
      </w:r>
      <w:r w:rsidR="003F59F3" w:rsidRPr="003F59F3">
        <w:t>2201816</w:t>
      </w:r>
      <w:r>
        <w:t xml:space="preserve">, draft CR 37.340 Introduction of CPA and inter-SN CPC, </w:t>
      </w:r>
      <w:r w:rsidRPr="00523744">
        <w:t>RAN2#</w:t>
      </w:r>
      <w:r w:rsidRPr="003F59F3">
        <w:t>116</w:t>
      </w:r>
      <w:r w:rsidR="003F59F3" w:rsidRPr="003F59F3">
        <w:t>bis</w:t>
      </w:r>
      <w:r w:rsidRPr="00523744">
        <w:t>-e</w:t>
      </w:r>
      <w:r>
        <w:t xml:space="preserve">, </w:t>
      </w:r>
      <w:r w:rsidRPr="00523744">
        <w:t xml:space="preserve">Online, </w:t>
      </w:r>
      <w:r w:rsidRPr="003F59F3">
        <w:t>1</w:t>
      </w:r>
      <w:r w:rsidR="003F59F3" w:rsidRPr="003F59F3">
        <w:t>7</w:t>
      </w:r>
      <w:r w:rsidRPr="003F59F3">
        <w:rPr>
          <w:vertAlign w:val="superscript"/>
        </w:rPr>
        <w:t>t</w:t>
      </w:r>
      <w:r w:rsidR="003F59F3" w:rsidRPr="003F59F3">
        <w:rPr>
          <w:vertAlign w:val="superscript"/>
        </w:rPr>
        <w:t>h</w:t>
      </w:r>
      <w:r w:rsidRPr="003F59F3">
        <w:t xml:space="preserve"> – </w:t>
      </w:r>
      <w:r w:rsidR="003F59F3" w:rsidRPr="003F59F3">
        <w:t>25</w:t>
      </w:r>
      <w:r w:rsidRPr="003F59F3">
        <w:rPr>
          <w:vertAlign w:val="superscript"/>
        </w:rPr>
        <w:t>th</w:t>
      </w:r>
      <w:r w:rsidRPr="003F59F3">
        <w:t xml:space="preserve"> </w:t>
      </w:r>
      <w:r w:rsidR="003F59F3" w:rsidRPr="003F59F3">
        <w:t>January</w:t>
      </w:r>
      <w:r w:rsidRPr="003F59F3">
        <w:t>, 202</w:t>
      </w:r>
      <w:r w:rsidR="003F59F3" w:rsidRPr="003F59F3">
        <w:t>2</w:t>
      </w:r>
      <w:bookmarkEnd w:id="39"/>
      <w:bookmarkEnd w:id="42"/>
    </w:p>
    <w:p w14:paraId="1BC503AC" w14:textId="6960D83B" w:rsidR="00641460" w:rsidRPr="003F59F3" w:rsidRDefault="00641460" w:rsidP="00523744">
      <w:pPr>
        <w:pStyle w:val="Reference"/>
      </w:pPr>
      <w:bookmarkStart w:id="43" w:name="_Ref95218345"/>
      <w:r w:rsidRPr="00641460">
        <w:t>R2-2202029</w:t>
      </w:r>
      <w:r>
        <w:t xml:space="preserve">, </w:t>
      </w:r>
      <w:r w:rsidRPr="00641460">
        <w:t>Open issues for MR DC/CA further enhancements, Huawei, HiSilicon, RAN2#116bis-e, Online, 17th – 25th January, 2022</w:t>
      </w:r>
      <w:bookmarkEnd w:id="43"/>
    </w:p>
    <w:bookmarkEnd w:id="40"/>
    <w:bookmarkEnd w:id="41"/>
    <w:p w14:paraId="37CA786B" w14:textId="71C0052B" w:rsidR="00831AAF" w:rsidRDefault="00831AAF">
      <w:pPr>
        <w:overflowPunct/>
        <w:autoSpaceDE/>
        <w:autoSpaceDN/>
        <w:adjustRightInd/>
        <w:spacing w:after="0"/>
        <w:textAlignment w:val="auto"/>
        <w:rPr>
          <w:rFonts w:ascii="Arial" w:hAnsi="Arial"/>
          <w:lang w:eastAsia="zh-CN"/>
        </w:rPr>
      </w:pPr>
      <w:r>
        <w:br w:type="page"/>
      </w:r>
    </w:p>
    <w:p w14:paraId="399482A1" w14:textId="32EE1DAD" w:rsidR="00C527B6" w:rsidRDefault="00C527B6" w:rsidP="00C527B6">
      <w:pPr>
        <w:pStyle w:val="Heading1"/>
      </w:pPr>
      <w:r>
        <w:lastRenderedPageBreak/>
        <w:t>Annex – Text Proposal to 3</w:t>
      </w:r>
      <w:r w:rsidR="00FB5C80">
        <w:t>7.340</w:t>
      </w:r>
    </w:p>
    <w:p w14:paraId="04D9FB90" w14:textId="79499EFF" w:rsidR="00C527B6" w:rsidRDefault="003F59F3" w:rsidP="008276A5">
      <w:pPr>
        <w:pStyle w:val="BodyText"/>
      </w:pPr>
      <w:r>
        <w:t xml:space="preserve">Based on TS 37.340 V16.8.0 and on the draft CR to TS 37.340 in </w:t>
      </w:r>
      <w:r>
        <w:fldChar w:fldCharType="begin"/>
      </w:r>
      <w:r>
        <w:instrText xml:space="preserve"> REF _Ref95207596 \r \h </w:instrText>
      </w:r>
      <w:r>
        <w:fldChar w:fldCharType="separate"/>
      </w:r>
      <w:r>
        <w:t>[1]</w:t>
      </w:r>
      <w:r>
        <w:fldChar w:fldCharType="end"/>
      </w:r>
      <w:r>
        <w:t>.</w:t>
      </w:r>
    </w:p>
    <w:p w14:paraId="57845D0E" w14:textId="77777777" w:rsidR="003F59F3" w:rsidRPr="002D0492" w:rsidRDefault="003F59F3" w:rsidP="003F59F3">
      <w:pPr>
        <w:pStyle w:val="Heading2"/>
      </w:pPr>
      <w:bookmarkStart w:id="44" w:name="_Toc90725882"/>
      <w:r w:rsidRPr="002D0492">
        <w:t>10.1</w:t>
      </w:r>
      <w:r w:rsidRPr="002D0492">
        <w:tab/>
        <w:t>General</w:t>
      </w:r>
      <w:bookmarkEnd w:id="44"/>
    </w:p>
    <w:p w14:paraId="0BF2CD9D" w14:textId="77777777" w:rsidR="003F59F3" w:rsidRPr="002D0492" w:rsidRDefault="003F59F3" w:rsidP="003F59F3">
      <w:r w:rsidRPr="002D0492">
        <w:t>Similar procedures as defined under clause 10.1.2.8 (Dual Connectivity operation) in TS 36.300 [2] apply for MR-DC.</w:t>
      </w:r>
    </w:p>
    <w:p w14:paraId="7CC6A63F" w14:textId="77777777" w:rsidR="003F59F3" w:rsidRPr="002D0492" w:rsidRDefault="003F59F3" w:rsidP="003F59F3">
      <w:pPr>
        <w:rPr>
          <w:lang w:eastAsia="zh-CN"/>
        </w:rPr>
      </w:pPr>
      <w:r w:rsidRPr="002D0492">
        <w:t xml:space="preserve">Similar </w:t>
      </w:r>
      <w:r w:rsidRPr="002D0492">
        <w:rPr>
          <w:lang w:eastAsia="zh-CN"/>
        </w:rPr>
        <w:t xml:space="preserve">CHO </w:t>
      </w:r>
      <w:r w:rsidRPr="002D0492">
        <w:t>pr</w:t>
      </w:r>
      <w:r w:rsidRPr="002D0492">
        <w:rPr>
          <w:lang w:eastAsia="zh-CN"/>
        </w:rPr>
        <w:t>inciples as defined</w:t>
      </w:r>
      <w:r w:rsidRPr="002D0492">
        <w:t xml:space="preserve"> in</w:t>
      </w:r>
      <w:r w:rsidRPr="002D0492">
        <w:rPr>
          <w:lang w:eastAsia="zh-CN"/>
        </w:rPr>
        <w:t xml:space="preserve"> </w:t>
      </w:r>
      <w:r w:rsidRPr="002D0492">
        <w:t>TS 3</w:t>
      </w:r>
      <w:r w:rsidRPr="002D0492">
        <w:rPr>
          <w:rFonts w:eastAsia="SimSun"/>
          <w:lang w:eastAsia="zh-CN"/>
        </w:rPr>
        <w:t>6</w:t>
      </w:r>
      <w:r w:rsidRPr="002D0492">
        <w:t>.300 [</w:t>
      </w:r>
      <w:r w:rsidRPr="002D0492">
        <w:rPr>
          <w:rFonts w:eastAsia="SimSun"/>
          <w:lang w:eastAsia="zh-CN"/>
        </w:rPr>
        <w:t>2</w:t>
      </w:r>
      <w:r w:rsidRPr="002D0492">
        <w:t>]</w:t>
      </w:r>
      <w:r w:rsidRPr="002D0492">
        <w:rPr>
          <w:rFonts w:eastAsia="SimSun"/>
          <w:lang w:eastAsia="zh-CN"/>
        </w:rPr>
        <w:t xml:space="preserve"> and </w:t>
      </w:r>
      <w:r w:rsidRPr="002D0492">
        <w:t>TS 3</w:t>
      </w:r>
      <w:r w:rsidRPr="002D0492">
        <w:rPr>
          <w:lang w:eastAsia="zh-CN"/>
        </w:rPr>
        <w:t>8</w:t>
      </w:r>
      <w:r w:rsidRPr="002D0492">
        <w:t>.300 [</w:t>
      </w:r>
      <w:r w:rsidRPr="002D0492">
        <w:rPr>
          <w:lang w:eastAsia="zh-CN"/>
        </w:rPr>
        <w:t>3</w:t>
      </w:r>
      <w:r w:rsidRPr="002D0492">
        <w:t xml:space="preserve">] apply for </w:t>
      </w:r>
      <w:r w:rsidRPr="002D0492">
        <w:rPr>
          <w:rFonts w:eastAsia="SimSun"/>
          <w:lang w:eastAsia="zh-CN"/>
        </w:rPr>
        <w:t xml:space="preserve">the </w:t>
      </w:r>
      <w:r w:rsidRPr="002D0492">
        <w:rPr>
          <w:lang w:eastAsia="zh-CN"/>
        </w:rPr>
        <w:t xml:space="preserve">Conditional PSCell Change in </w:t>
      </w:r>
      <w:r w:rsidRPr="002D0492">
        <w:t>MR-DC</w:t>
      </w:r>
      <w:r w:rsidRPr="002D0492">
        <w:rPr>
          <w:lang w:eastAsia="zh-CN"/>
        </w:rPr>
        <w:t>.</w:t>
      </w:r>
    </w:p>
    <w:p w14:paraId="6BE4B126" w14:textId="09F1505C" w:rsidR="003F59F3" w:rsidRPr="002D0492" w:rsidRDefault="003F59F3" w:rsidP="003F59F3">
      <w:pPr>
        <w:rPr>
          <w:lang w:eastAsia="zh-CN"/>
        </w:rPr>
      </w:pPr>
      <w:r w:rsidRPr="002D0492">
        <w:rPr>
          <w:lang w:eastAsia="zh-CN"/>
        </w:rPr>
        <w:t xml:space="preserve">Conditional PSCell Change </w:t>
      </w:r>
      <w:r w:rsidRPr="008276A5">
        <w:rPr>
          <w:color w:val="FF0000"/>
          <w:u w:val="single"/>
          <w:lang w:eastAsia="zh-CN"/>
        </w:rPr>
        <w:t>and Conditional PSCell Addition are</w:t>
      </w:r>
      <w:r w:rsidRPr="003F59F3">
        <w:rPr>
          <w:strike/>
          <w:color w:val="FF0000"/>
          <w:lang w:eastAsia="zh-CN"/>
        </w:rPr>
        <w:t>is</w:t>
      </w:r>
      <w:r w:rsidRPr="002D0492">
        <w:rPr>
          <w:lang w:eastAsia="zh-CN"/>
        </w:rPr>
        <w:t xml:space="preserve"> not supported for the MR-DC options NE-DC and NGEN-DC.</w:t>
      </w:r>
    </w:p>
    <w:p w14:paraId="3F6CFF28" w14:textId="77777777" w:rsidR="003F59F3" w:rsidRPr="002D0492" w:rsidRDefault="003F59F3" w:rsidP="003F59F3">
      <w:pPr>
        <w:rPr>
          <w:lang w:eastAsia="zh-CN"/>
        </w:rPr>
      </w:pPr>
      <w:r w:rsidRPr="002D0492">
        <w:t>Configuration of CHO and CPC for simultaneous operation is not supported in this release</w:t>
      </w:r>
      <w:r w:rsidRPr="002D0492">
        <w:rPr>
          <w:lang w:eastAsia="zh-CN"/>
        </w:rPr>
        <w:t>.</w:t>
      </w:r>
    </w:p>
    <w:p w14:paraId="53858137" w14:textId="77777777" w:rsidR="003F59F3" w:rsidRPr="002D0492" w:rsidRDefault="003F59F3" w:rsidP="003F59F3">
      <w:pPr>
        <w:rPr>
          <w:lang w:eastAsia="zh-CN"/>
        </w:rPr>
      </w:pPr>
      <w:r w:rsidRPr="002D0492">
        <w:rPr>
          <w:lang w:eastAsia="zh-CN"/>
        </w:rPr>
        <w:t>In case MR-DC is configured, CHO is only supported in Master Node to eNB/gNB Change procedure in this release.</w:t>
      </w:r>
    </w:p>
    <w:p w14:paraId="575DDCDD" w14:textId="46EEF1B0" w:rsidR="00146D15" w:rsidRDefault="00146D15" w:rsidP="008276A5">
      <w:pPr>
        <w:pStyle w:val="BodyText"/>
      </w:pPr>
    </w:p>
    <w:p w14:paraId="3CCD2B67" w14:textId="77777777" w:rsidR="00146D15" w:rsidRDefault="00146D15" w:rsidP="003F59F3">
      <w:pPr>
        <w:pStyle w:val="Heading3"/>
        <w:rPr>
          <w:lang w:eastAsia="zh-CN"/>
        </w:rPr>
      </w:pPr>
      <w:bookmarkStart w:id="45" w:name="_Toc60787205"/>
      <w:r>
        <w:rPr>
          <w:lang w:eastAsia="zh-CN"/>
        </w:rPr>
        <w:t>10.2.2</w:t>
      </w:r>
      <w:r>
        <w:rPr>
          <w:lang w:eastAsia="zh-CN"/>
        </w:rPr>
        <w:tab/>
        <w:t>MR-DC with 5GC</w:t>
      </w:r>
      <w:bookmarkEnd w:id="45"/>
    </w:p>
    <w:p w14:paraId="2606E6FC" w14:textId="04A92741" w:rsidR="00146D15" w:rsidRDefault="00146D15" w:rsidP="00146D15">
      <w:r>
        <w:t>The Secondary Node</w:t>
      </w:r>
      <w:r>
        <w:rPr>
          <w:lang w:eastAsia="zh-CN"/>
        </w:rPr>
        <w:t xml:space="preserve"> (SN)</w:t>
      </w:r>
      <w:r>
        <w:t xml:space="preserve"> Addition procedure is initiated by the MN and is used to establish a UE context at the SN in order to provide resources from the S</w:t>
      </w:r>
      <w:r>
        <w:rPr>
          <w:lang w:eastAsia="zh-CN"/>
        </w:rPr>
        <w:t>N</w:t>
      </w:r>
      <w:r>
        <w:t xml:space="preserve"> to the UE. For bearers requiring SCG radio resources, this procedure is used to add at least the </w:t>
      </w:r>
      <w:r>
        <w:rPr>
          <w:lang w:eastAsia="zh-CN"/>
        </w:rPr>
        <w:t>initial SCG serving</w:t>
      </w:r>
      <w:r>
        <w:t xml:space="preserve"> cell</w:t>
      </w:r>
      <w:r>
        <w:rPr>
          <w:lang w:eastAsia="zh-CN"/>
        </w:rPr>
        <w:t xml:space="preserve"> of the SCG</w:t>
      </w:r>
      <w:r>
        <w:t xml:space="preserve">. This procedure can also be used to configure an SN terminated MCG bearer (where no SCG configuration is needed). </w:t>
      </w:r>
      <w:r>
        <w:rPr>
          <w:rFonts w:hint="eastAsia"/>
          <w:lang w:eastAsia="zh-CN"/>
        </w:rPr>
        <w:t>In case of CPA, this</w:t>
      </w:r>
      <w:r>
        <w:t xml:space="preserve"> procedure </w:t>
      </w:r>
      <w:r>
        <w:rPr>
          <w:rFonts w:hint="eastAsia"/>
          <w:lang w:eastAsia="zh-CN"/>
        </w:rPr>
        <w:t>can be used to configure the CPA configuration</w:t>
      </w:r>
      <w:r>
        <w:rPr>
          <w:lang w:eastAsia="zh-CN"/>
        </w:rPr>
        <w:t xml:space="preserve"> and CPA execution</w:t>
      </w:r>
      <w:r>
        <w:rPr>
          <w:rFonts w:hint="eastAsia"/>
          <w:lang w:eastAsia="zh-CN"/>
        </w:rPr>
        <w:t xml:space="preserve">. </w:t>
      </w:r>
      <w:r>
        <w:t>The CP</w:t>
      </w:r>
      <w:r>
        <w:rPr>
          <w:rFonts w:hint="eastAsia"/>
        </w:rPr>
        <w:t>A</w:t>
      </w:r>
      <w:r>
        <w:t xml:space="preserve"> configuration cannot be used to configure NE-DC</w:t>
      </w:r>
      <w:r w:rsidR="008D34F3" w:rsidRPr="008D34F3">
        <w:rPr>
          <w:color w:val="FF0000"/>
          <w:u w:val="single"/>
        </w:rPr>
        <w:t xml:space="preserve"> or NGEN-DC</w:t>
      </w:r>
      <w:r>
        <w:t>.</w:t>
      </w:r>
    </w:p>
    <w:p w14:paraId="71D81FD8" w14:textId="77777777" w:rsidR="00146D15" w:rsidRPr="008D34F3" w:rsidRDefault="00146D15" w:rsidP="00146D15">
      <w:pPr>
        <w:rPr>
          <w:strike/>
          <w:color w:val="FF0000"/>
          <w:lang w:eastAsia="zh-CN"/>
        </w:rPr>
      </w:pPr>
      <w:r w:rsidRPr="008D34F3">
        <w:rPr>
          <w:strike/>
          <w:color w:val="FF0000"/>
        </w:rPr>
        <w:t>Editor’s Note: need to discuss whether CPA configuration can be used to configure NGEN-DC.</w:t>
      </w:r>
    </w:p>
    <w:p w14:paraId="0B4A9A8E" w14:textId="77777777" w:rsidR="00146D15" w:rsidRDefault="00146D15" w:rsidP="00146D15">
      <w:pPr>
        <w:rPr>
          <w:b/>
          <w:lang w:eastAsia="zh-CN"/>
        </w:rPr>
      </w:pPr>
      <w:r>
        <w:rPr>
          <w:rFonts w:hint="eastAsia"/>
          <w:b/>
          <w:lang w:eastAsia="zh-CN"/>
        </w:rPr>
        <w:t xml:space="preserve">MN </w:t>
      </w:r>
      <w:r>
        <w:rPr>
          <w:b/>
          <w:lang w:eastAsia="zh-CN"/>
        </w:rPr>
        <w:t>initiated</w:t>
      </w:r>
      <w:r>
        <w:rPr>
          <w:rFonts w:hint="eastAsia"/>
          <w:b/>
          <w:lang w:eastAsia="zh-CN"/>
        </w:rPr>
        <w:t xml:space="preserve"> Secondary Node Addition</w:t>
      </w:r>
    </w:p>
    <w:p w14:paraId="48180171" w14:textId="77777777" w:rsidR="00146D15" w:rsidRDefault="00146D15" w:rsidP="00146D15">
      <w:pPr>
        <w:rPr>
          <w:lang w:eastAsia="zh-CN"/>
        </w:rPr>
      </w:pPr>
      <w:r>
        <w:t xml:space="preserve">Figure </w:t>
      </w:r>
      <w:r>
        <w:rPr>
          <w:lang w:eastAsia="zh-CN"/>
        </w:rPr>
        <w:t>10</w:t>
      </w:r>
      <w:r>
        <w:t>.2.2-1 shows the S</w:t>
      </w:r>
      <w:r>
        <w:rPr>
          <w:lang w:eastAsia="zh-CN"/>
        </w:rPr>
        <w:t>N</w:t>
      </w:r>
      <w:r>
        <w:t xml:space="preserve"> Addition procedure.</w:t>
      </w:r>
      <w:r>
        <w:rPr>
          <w:rFonts w:hint="eastAsia"/>
          <w:lang w:eastAsia="zh-CN"/>
        </w:rPr>
        <w:t xml:space="preserve"> </w:t>
      </w:r>
    </w:p>
    <w:p w14:paraId="5BFC2D4E" w14:textId="77777777" w:rsidR="00146D15" w:rsidRDefault="00146D15" w:rsidP="00146D15">
      <w:pPr>
        <w:pStyle w:val="TH"/>
        <w:rPr>
          <w:lang w:eastAsia="zh-CN"/>
        </w:rPr>
      </w:pPr>
      <w:r>
        <w:fldChar w:fldCharType="begin"/>
      </w:r>
      <w:r>
        <w:fldChar w:fldCharType="end"/>
      </w:r>
      <w:r>
        <w:fldChar w:fldCharType="begin"/>
      </w:r>
      <w:r>
        <w:fldChar w:fldCharType="end"/>
      </w:r>
      <w:r>
        <w:object w:dxaOrig="8640" w:dyaOrig="5070" w14:anchorId="6ADDB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5.75pt" o:ole="">
            <v:imagedata r:id="rId11" o:title=""/>
            <o:lock v:ext="edit" aspectratio="f"/>
          </v:shape>
          <o:OLEObject Type="Embed" ProgID="Visio.Drawing.11" ShapeID="_x0000_i1025" DrawAspect="Content" ObjectID="_1706380158" r:id="rId12"/>
        </w:object>
      </w:r>
    </w:p>
    <w:p w14:paraId="746300B2" w14:textId="77777777" w:rsidR="00146D15" w:rsidRDefault="00146D15" w:rsidP="00146D15">
      <w:pPr>
        <w:pStyle w:val="TF"/>
      </w:pPr>
      <w:r>
        <w:t xml:space="preserve">Figure </w:t>
      </w:r>
      <w:r>
        <w:rPr>
          <w:lang w:eastAsia="zh-CN"/>
        </w:rPr>
        <w:t>10.2.2</w:t>
      </w:r>
      <w:r>
        <w:t>-</w:t>
      </w:r>
      <w:r>
        <w:rPr>
          <w:lang w:eastAsia="zh-CN"/>
        </w:rPr>
        <w:t>1</w:t>
      </w:r>
      <w:r>
        <w:t>: S</w:t>
      </w:r>
      <w:r>
        <w:rPr>
          <w:lang w:eastAsia="zh-CN"/>
        </w:rPr>
        <w:t>N</w:t>
      </w:r>
      <w:r>
        <w:t xml:space="preserve"> Addition procedure</w:t>
      </w:r>
    </w:p>
    <w:p w14:paraId="151E9411" w14:textId="77777777" w:rsidR="00146D15" w:rsidRDefault="00146D15" w:rsidP="003F59F3">
      <w:pPr>
        <w:pStyle w:val="B1"/>
      </w:pPr>
      <w:r>
        <w:t>1.</w:t>
      </w:r>
      <w:r>
        <w:tab/>
        <w:t xml:space="preserve">The MN decides to request the target SN to allocate resources for one or more specific PDU Sessions/QoS Flows, indicating QoS Flows characteristics (QoS Flow Level QoS parameters, PDU session level TNL address </w:t>
      </w:r>
      <w:r>
        <w:lastRenderedPageBreak/>
        <w:t>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the MN always provides all the needed security information to the SN (even if no SN terminated bearers are setup) to enable SRB3 to be setup based on SN decision.</w:t>
      </w:r>
    </w:p>
    <w:p w14:paraId="51231D20" w14:textId="77777777" w:rsidR="00146D15" w:rsidRDefault="00146D15" w:rsidP="003F59F3">
      <w:pPr>
        <w:pStyle w:val="B1"/>
      </w:pPr>
      <w:r>
        <w:tab/>
        <w:t>For MN terminated bearer options that require Xn-U resources between the MN and the SN, the MN provides Xn-U UL TNL address information. For SN terminated bearers, the MN provides a list of available DRB IDs. The S-NG-RAN node shall store this information and use it when establishing SN terminated bearers. The SN may reject the request.</w:t>
      </w:r>
    </w:p>
    <w:p w14:paraId="4B21435E" w14:textId="77777777" w:rsidR="00146D15" w:rsidRDefault="00146D15" w:rsidP="003F59F3">
      <w:pPr>
        <w:pStyle w:val="B1"/>
      </w:pPr>
      <w:r>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562258D2" w14:textId="77777777" w:rsidR="00146D15" w:rsidRDefault="00146D15" w:rsidP="003F59F3">
      <w:pPr>
        <w:pStyle w:val="NO"/>
        <w:rPr>
          <w:i/>
          <w:lang w:eastAsia="zh-CN"/>
        </w:rPr>
      </w:pPr>
      <w:r>
        <w:t>NOTE 1:</w:t>
      </w:r>
      <w:r>
        <w:tab/>
        <w:t xml:space="preserve">For split bearers, MCG and SCG resources may be requested of such an amount, that the QoS for the respective </w:t>
      </w:r>
      <w:r>
        <w:rPr>
          <w:lang w:eastAsia="zh-CN"/>
        </w:rPr>
        <w:t>QoS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r>
        <w:rPr>
          <w:lang w:eastAsia="zh-CN"/>
        </w:rPr>
        <w:t>QoS Flow</w:t>
      </w:r>
      <w:r>
        <w:t xml:space="preserve"> parameters signalled to the S</w:t>
      </w:r>
      <w:r>
        <w:rPr>
          <w:lang w:eastAsia="zh-CN"/>
        </w:rPr>
        <w:t>N</w:t>
      </w:r>
      <w:r>
        <w:t xml:space="preserve">, which may differ from </w:t>
      </w:r>
      <w:r>
        <w:rPr>
          <w:lang w:eastAsia="zh-CN"/>
        </w:rPr>
        <w:t>QoS Flow</w:t>
      </w:r>
      <w:r>
        <w:t xml:space="preserve"> parameters received over </w:t>
      </w:r>
      <w:r>
        <w:rPr>
          <w:lang w:eastAsia="zh-CN"/>
        </w:rPr>
        <w:t>NG</w:t>
      </w:r>
      <w:r>
        <w:t>.</w:t>
      </w:r>
    </w:p>
    <w:p w14:paraId="7EB64ACD" w14:textId="77777777" w:rsidR="00146D15" w:rsidRDefault="00146D15" w:rsidP="003F59F3">
      <w:pPr>
        <w:pStyle w:val="NO"/>
        <w:rPr>
          <w:rFonts w:eastAsia="Arial"/>
        </w:rPr>
      </w:pPr>
      <w:r>
        <w:t>NOTE 2:</w:t>
      </w:r>
      <w:r>
        <w:tab/>
        <w:t>For a specific QoS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It is also allowed that all QoS flows can be mapped to</w:t>
      </w:r>
      <w:r>
        <w:t xml:space="preserve"> SN terminated bearers</w:t>
      </w:r>
      <w:r>
        <w:rPr>
          <w:rFonts w:eastAsia="Arial"/>
        </w:rPr>
        <w:t>, i.e. there is no QoS flow mapped to an MN terminated bearer.</w:t>
      </w:r>
    </w:p>
    <w:p w14:paraId="3260847F" w14:textId="77777777" w:rsidR="00146D15" w:rsidRDefault="00146D15" w:rsidP="008D34F3">
      <w:pPr>
        <w:pStyle w:val="B1"/>
      </w:pPr>
      <w:r>
        <w:t>2.</w:t>
      </w:r>
      <w:r>
        <w:tab/>
        <w:t xml:space="preserve">If the RRM entity in the SN is able to admit the resource request, it allocates respective radio resources and, dependent on the bearer type options, respective transport network resources. For bearers requiring SCG radio resources the SN triggers UE Random Access so that synchronisation of the SN radio resource configuration can be performed. The SN decides for the PSCell and other SCG SCells and provides the new SCG radio resource configuration to the MN within an SN RRC configuration message contained in the </w:t>
      </w:r>
      <w:r>
        <w:rPr>
          <w:i/>
        </w:rPr>
        <w:t>SN Addition Request Acknowledge</w:t>
      </w:r>
      <w:r>
        <w:t xml:space="preserve"> message. In case of bearer options that require Xn-U resources between the MN and the SN, the SN provides Xn-U TNL address information for the respective DRB, Xn-U UL TNL address information for SN terminated bearers, Xn-U DL TNL address information for MN terminated bearers. For SN terminated bearers, the SN provides the NG-U DL TNL address information for the respective PDU Session and security algorithm. If SCG radio resources have been requested, the SCG radio resource configuration is provided.</w:t>
      </w:r>
    </w:p>
    <w:p w14:paraId="3BC7D6E0" w14:textId="77777777" w:rsidR="00146D15" w:rsidRDefault="00146D15" w:rsidP="008D34F3">
      <w:pPr>
        <w:pStyle w:val="NO"/>
        <w:rPr>
          <w:i/>
          <w:lang w:eastAsia="zh-CN"/>
        </w:rPr>
      </w:pPr>
      <w:r>
        <w:t>NOTE 3:</w:t>
      </w:r>
      <w:r>
        <w:tab/>
        <w:t xml:space="preserve">In case of </w:t>
      </w:r>
      <w:r>
        <w:rPr>
          <w:lang w:eastAsia="zh-CN"/>
        </w:rPr>
        <w:t>MN terminated</w:t>
      </w:r>
      <w:r>
        <w:t xml:space="preserve"> bearers, transmission of user plane data may take place after step 2.</w:t>
      </w:r>
    </w:p>
    <w:p w14:paraId="7C8B27F0" w14:textId="77777777" w:rsidR="00146D15" w:rsidRDefault="00146D15" w:rsidP="008D34F3">
      <w:pPr>
        <w:pStyle w:val="NO"/>
      </w:pPr>
      <w:r>
        <w:t>NOTE 4:</w:t>
      </w:r>
      <w:r>
        <w:tab/>
        <w:t>In case of SN terminated bearers, data forwarding and the SN Status Transfer may take place after step 2.</w:t>
      </w:r>
    </w:p>
    <w:p w14:paraId="018816DB" w14:textId="77777777" w:rsidR="00146D15" w:rsidRDefault="00146D15" w:rsidP="008D34F3">
      <w:pPr>
        <w:pStyle w:val="NO"/>
      </w:pPr>
      <w:r>
        <w:t>NOTE 5:</w:t>
      </w:r>
      <w:r>
        <w:tab/>
        <w:t>For MN terminated bearers for which PDCP duplication with CA is configured in NR SCG side, the MN allocates up to 4 separate Xn-U bearers and the SN provides a logical channel ID for primary or split secondary path to the MN.</w:t>
      </w:r>
    </w:p>
    <w:p w14:paraId="5CE17BFD" w14:textId="77777777" w:rsidR="00146D15" w:rsidRDefault="00146D15" w:rsidP="008D34F3">
      <w:pPr>
        <w:pStyle w:val="NO"/>
        <w:rPr>
          <w:lang w:eastAsia="zh-CN"/>
        </w:rPr>
      </w:pPr>
      <w:r>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14:paraId="515E8E19" w14:textId="77777777" w:rsidR="00146D15" w:rsidRDefault="00146D15" w:rsidP="008D34F3">
      <w:pPr>
        <w:pStyle w:val="B1"/>
      </w:pPr>
      <w:r>
        <w:t>2a.</w:t>
      </w:r>
      <w:r>
        <w:tab/>
        <w:t xml:space="preserve">For SN terminated bearers using MCG resources, the MN provides Xn-U DL TNL address information in the </w:t>
      </w:r>
      <w:r>
        <w:rPr>
          <w:i/>
        </w:rPr>
        <w:t>Xn-U Address Indication</w:t>
      </w:r>
      <w:r>
        <w:t xml:space="preserve"> message.</w:t>
      </w:r>
    </w:p>
    <w:p w14:paraId="337E3DAF" w14:textId="77777777" w:rsidR="00146D15" w:rsidRDefault="00146D15" w:rsidP="008D34F3">
      <w:pPr>
        <w:pStyle w:val="B1"/>
      </w:pPr>
      <w:r>
        <w:t>3.</w:t>
      </w:r>
      <w:r>
        <w:tab/>
        <w:t xml:space="preserve">The MN sends the </w:t>
      </w:r>
      <w:r>
        <w:rPr>
          <w:i/>
        </w:rPr>
        <w:t>MN RRC reconfiguration</w:t>
      </w:r>
      <w:r>
        <w:t xml:space="preserve"> message to the UE including the SN RRC configuration message, without modifying it.</w:t>
      </w:r>
    </w:p>
    <w:p w14:paraId="0D112BEF" w14:textId="77777777" w:rsidR="00146D15" w:rsidRDefault="00146D15" w:rsidP="008D34F3">
      <w:pPr>
        <w:pStyle w:val="B1"/>
      </w:pPr>
      <w:r>
        <w:t>4.</w:t>
      </w:r>
      <w:r>
        <w:tab/>
        <w:t xml:space="preserve">The UE applies the new configuration and replies to MN with </w:t>
      </w:r>
      <w:r>
        <w:rPr>
          <w:i/>
        </w:rPr>
        <w:t>MN RRC reconfiguration complete</w:t>
      </w:r>
      <w:r>
        <w:t xml:space="preserve"> message, including an SN RRC response message for SN, if needed. In case the UE is unable to comply with (part of) the configuration included in the </w:t>
      </w:r>
      <w:r>
        <w:rPr>
          <w:i/>
        </w:rPr>
        <w:t>MN RRC reconfiguration</w:t>
      </w:r>
      <w:r>
        <w:t xml:space="preserve"> message, it performs the reconfiguration failure procedure.</w:t>
      </w:r>
    </w:p>
    <w:p w14:paraId="66CF1CA1" w14:textId="77777777" w:rsidR="00146D15" w:rsidRDefault="00146D15" w:rsidP="008D34F3">
      <w:pPr>
        <w:pStyle w:val="B1"/>
      </w:pPr>
      <w:r>
        <w:t>5.</w:t>
      </w:r>
      <w:r>
        <w:tab/>
        <w:t xml:space="preserve">The MN informs the SN that the UE has completed the reconfiguration procedure successfully via </w:t>
      </w:r>
      <w:r>
        <w:rPr>
          <w:i/>
        </w:rPr>
        <w:t>SN Reconfiguration Complete</w:t>
      </w:r>
      <w:r>
        <w:t xml:space="preserve"> message, including the SN RRC response message, if received from the UE.</w:t>
      </w:r>
    </w:p>
    <w:p w14:paraId="328A3E28" w14:textId="77777777" w:rsidR="00146D15" w:rsidRDefault="00146D15" w:rsidP="008D34F3">
      <w:pPr>
        <w:pStyle w:val="B1"/>
      </w:pPr>
      <w:r>
        <w:t>6.</w:t>
      </w:r>
      <w:r>
        <w:tab/>
        <w:t xml:space="preserve">If configured with bearers requiring SCG radio resources, the UE performs synchronisation towards the PSCell configured by the SN. The order the UE sends the </w:t>
      </w:r>
      <w:r>
        <w:rPr>
          <w:i/>
        </w:rPr>
        <w:t>MN RRC reconfiguration complete</w:t>
      </w:r>
      <w: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14:paraId="7C7F4D0F" w14:textId="77777777" w:rsidR="00146D15" w:rsidRDefault="00146D15" w:rsidP="008D34F3">
      <w:pPr>
        <w:pStyle w:val="B1"/>
      </w:pPr>
      <w:r>
        <w:lastRenderedPageBreak/>
        <w:t>7.</w:t>
      </w:r>
      <w:r>
        <w:tab/>
        <w:t>If PDCP termination point is changed to the SN for bearers using RLC AM, and when RRC full configuration is not used, the MN sends the SN Status Transfer.</w:t>
      </w:r>
    </w:p>
    <w:p w14:paraId="3ABC320F" w14:textId="77777777" w:rsidR="00146D15" w:rsidRDefault="00146D15" w:rsidP="008D34F3">
      <w:pPr>
        <w:pStyle w:val="B1"/>
      </w:pPr>
      <w:r>
        <w:t>8.</w:t>
      </w:r>
      <w:r>
        <w:tab/>
        <w:t>For SN terminated bearers or QoS flows moved from the MN, dependent on the characteristics of the respective bearer or QoS flow, the MN may take actions to minimise service interruption due to activation of MR-DC (Data forwarding).</w:t>
      </w:r>
    </w:p>
    <w:p w14:paraId="60D93BCB" w14:textId="77777777" w:rsidR="00146D15" w:rsidRDefault="00146D15" w:rsidP="008D34F3">
      <w:pPr>
        <w:pStyle w:val="B1"/>
      </w:pPr>
      <w:r>
        <w:t>9-12.</w:t>
      </w:r>
      <w:r>
        <w:tab/>
        <w:t>If applicable, the update of the UP path towards the 5GC is performed via a PDU Session Path Update procedure.</w:t>
      </w:r>
    </w:p>
    <w:p w14:paraId="08D7CC7E" w14:textId="77777777" w:rsidR="00146D15" w:rsidRDefault="00146D15" w:rsidP="00146D15">
      <w:pPr>
        <w:rPr>
          <w:b/>
          <w:lang w:eastAsia="zh-CN"/>
        </w:rPr>
      </w:pPr>
      <w:r>
        <w:rPr>
          <w:rFonts w:hint="eastAsia"/>
          <w:b/>
          <w:lang w:eastAsia="zh-CN"/>
        </w:rPr>
        <w:t xml:space="preserve">MN </w:t>
      </w:r>
      <w:r>
        <w:rPr>
          <w:b/>
          <w:lang w:eastAsia="zh-CN"/>
        </w:rPr>
        <w:t>initiated</w:t>
      </w:r>
      <w:r>
        <w:rPr>
          <w:rFonts w:hint="eastAsia"/>
          <w:b/>
          <w:lang w:eastAsia="zh-CN"/>
        </w:rPr>
        <w:t xml:space="preserve"> Conditional PSCell Addition (CPA) </w:t>
      </w:r>
    </w:p>
    <w:p w14:paraId="59CCA6E8" w14:textId="77777777" w:rsidR="00146D15" w:rsidRDefault="00146D15" w:rsidP="00146D15">
      <w:pPr>
        <w:rPr>
          <w:lang w:eastAsia="zh-CN"/>
        </w:rPr>
      </w:pPr>
      <w:r>
        <w:t xml:space="preserve">Figure </w:t>
      </w:r>
      <w:r>
        <w:rPr>
          <w:lang w:eastAsia="zh-CN"/>
        </w:rPr>
        <w:t>10</w:t>
      </w:r>
      <w:r>
        <w:t>.2.2-</w:t>
      </w:r>
      <w:r>
        <w:rPr>
          <w:rFonts w:hint="eastAsia"/>
          <w:lang w:eastAsia="zh-CN"/>
        </w:rPr>
        <w:t>2</w:t>
      </w:r>
      <w:r>
        <w:t xml:space="preserve"> shows the Conditional S</w:t>
      </w:r>
      <w:r>
        <w:rPr>
          <w:lang w:eastAsia="zh-CN"/>
        </w:rPr>
        <w:t>N</w:t>
      </w:r>
      <w:r>
        <w:t xml:space="preserve"> Addition procedure.</w:t>
      </w:r>
    </w:p>
    <w:p w14:paraId="1B2C07C5" w14:textId="348E6990" w:rsidR="00146D15" w:rsidRDefault="00146D15" w:rsidP="00146D15">
      <w:pPr>
        <w:rPr>
          <w:lang w:eastAsia="zh-CN"/>
        </w:rPr>
      </w:pPr>
      <w:r>
        <w:object w:dxaOrig="9630" w:dyaOrig="5890" w14:anchorId="5619F4B2">
          <v:shape id="_x0000_i1026" type="#_x0000_t75" style="width:482.25pt;height:293.25pt" o:ole="">
            <v:imagedata r:id="rId13" o:title=""/>
          </v:shape>
          <o:OLEObject Type="Embed" ProgID="Visio.Drawing.11" ShapeID="_x0000_i1026" DrawAspect="Content" ObjectID="_1706380159" r:id="rId14"/>
        </w:object>
      </w:r>
    </w:p>
    <w:p w14:paraId="0332E337" w14:textId="77777777" w:rsidR="00146D15" w:rsidRDefault="00146D15" w:rsidP="00146D15">
      <w:pPr>
        <w:pStyle w:val="TF"/>
        <w:rPr>
          <w:lang w:eastAsia="zh-CN"/>
        </w:rPr>
      </w:pPr>
      <w:r>
        <w:t xml:space="preserve">Figure </w:t>
      </w:r>
      <w:r>
        <w:rPr>
          <w:lang w:eastAsia="zh-CN"/>
        </w:rPr>
        <w:t>10.2.2</w:t>
      </w:r>
      <w:r>
        <w:t>-</w:t>
      </w:r>
      <w:r>
        <w:rPr>
          <w:rFonts w:hint="eastAsia"/>
          <w:lang w:eastAsia="zh-CN"/>
        </w:rPr>
        <w:t>2</w:t>
      </w:r>
      <w:r>
        <w:t xml:space="preserve">: </w:t>
      </w:r>
      <w:r>
        <w:rPr>
          <w:rFonts w:hint="eastAsia"/>
          <w:lang w:eastAsia="zh-CN"/>
        </w:rPr>
        <w:t xml:space="preserve">Conditional </w:t>
      </w:r>
      <w:r>
        <w:t>Secondary Node</w:t>
      </w:r>
      <w:r>
        <w:rPr>
          <w:rFonts w:hint="eastAsia"/>
          <w:lang w:eastAsia="zh-CN"/>
        </w:rPr>
        <w:t xml:space="preserve"> Addition </w:t>
      </w:r>
      <w:r>
        <w:t>procedure</w:t>
      </w:r>
    </w:p>
    <w:p w14:paraId="524375DE" w14:textId="77777777" w:rsidR="00146D15" w:rsidRDefault="00146D15" w:rsidP="00146D15">
      <w:pPr>
        <w:ind w:left="568" w:hanging="284"/>
      </w:pPr>
      <w:r>
        <w:t>1.</w:t>
      </w:r>
      <w:r>
        <w:tab/>
        <w:t xml:space="preserve">The MN decides to </w:t>
      </w:r>
      <w:r>
        <w:rPr>
          <w:rFonts w:hint="eastAsia"/>
          <w:lang w:eastAsia="zh-CN"/>
        </w:rPr>
        <w:t xml:space="preserve">configure CPA for </w:t>
      </w:r>
      <w:r>
        <w:rPr>
          <w:lang w:eastAsia="zh-CN"/>
        </w:rPr>
        <w:t xml:space="preserve">the </w:t>
      </w:r>
      <w:r>
        <w:rPr>
          <w:rFonts w:hint="eastAsia"/>
          <w:lang w:eastAsia="zh-CN"/>
        </w:rPr>
        <w:t>UE</w:t>
      </w:r>
      <w:r>
        <w:rPr>
          <w:lang w:eastAsia="zh-CN"/>
        </w:rPr>
        <w:t>.</w:t>
      </w:r>
      <w:r>
        <w:rPr>
          <w:rFonts w:hint="eastAsia"/>
          <w:lang w:eastAsia="zh-CN"/>
        </w:rPr>
        <w:t xml:space="preserve"> </w:t>
      </w:r>
      <w:r>
        <w:rPr>
          <w:lang w:eastAsia="zh-CN"/>
        </w:rPr>
        <w:t xml:space="preserve">The </w:t>
      </w:r>
      <w:r>
        <w:rPr>
          <w:rFonts w:hint="eastAsia"/>
          <w:lang w:eastAsia="zh-CN"/>
        </w:rPr>
        <w:t>MN</w:t>
      </w:r>
      <w:r>
        <w:t xml:space="preserve"> requests the target </w:t>
      </w:r>
      <w:r>
        <w:rPr>
          <w:rFonts w:hint="eastAsia"/>
          <w:lang w:eastAsia="zh-CN"/>
        </w:rPr>
        <w:t xml:space="preserve">candidate </w:t>
      </w:r>
      <w:r>
        <w:t>SN to allocate resources for one or more specific PDU Sessions/QoS Flows, indicating QoS Flows characteristics (QoS Flow Level QoS parameters, PDU session level TNL address information, and PDU session level Network Slice info)</w:t>
      </w:r>
      <w:r>
        <w:rPr>
          <w:rFonts w:hint="eastAsia"/>
          <w:lang w:eastAsia="zh-CN"/>
        </w:rPr>
        <w:t xml:space="preserve"> </w:t>
      </w:r>
      <w:r>
        <w:t>and indicates the list of PSCells that may be prepared by the T-</w:t>
      </w:r>
      <w:r>
        <w:rPr>
          <w:lang w:eastAsia="zh-CN"/>
        </w:rPr>
        <w:t>S</w:t>
      </w:r>
      <w:r>
        <w:rPr>
          <w:rFonts w:hint="eastAsia"/>
          <w:lang w:eastAsia="zh-CN"/>
        </w:rPr>
        <w:t>N</w:t>
      </w:r>
      <w:r>
        <w:t xml:space="preserve">. In addition, for bearers requiring SCG radio resources, the MN indicates the requested SCG configuration information, including the entire UE capabilities and the UE capability coordination result. In this case, the MN also provides </w:t>
      </w:r>
      <w:r>
        <w:rPr>
          <w:rFonts w:hint="eastAsia"/>
          <w:lang w:eastAsia="zh-CN"/>
        </w:rPr>
        <w:t>the candidate cells recommended by MN via</w:t>
      </w:r>
      <w:r>
        <w:t xml:space="preserve"> the latest measurement results for the SN to choose and configure the SCG cell(s). The MN may request the SN to allocate radio resources for split SRB operation. In </w:t>
      </w:r>
      <w:r w:rsidRPr="008D34F3">
        <w:rPr>
          <w:strike/>
          <w:color w:val="FF0000"/>
        </w:rPr>
        <w:t xml:space="preserve">NGEN-DC and </w:t>
      </w:r>
      <w:r>
        <w:t xml:space="preserve">NR-DC, </w:t>
      </w:r>
      <w:r>
        <w:rPr>
          <w:lang w:eastAsia="zh-CN"/>
        </w:rPr>
        <w:t xml:space="preserve">the </w:t>
      </w:r>
      <w:r>
        <w:t>MN always provides all the needed security information to the SN (even if no SN terminated bearers are setup) to enable SRB3 to be setup based on SN decision.</w:t>
      </w:r>
    </w:p>
    <w:p w14:paraId="010DAB08" w14:textId="77777777" w:rsidR="00146D15" w:rsidRDefault="00146D15" w:rsidP="00146D15">
      <w:pPr>
        <w:ind w:left="568" w:hanging="284"/>
      </w:pPr>
      <w:r>
        <w:tab/>
        <w:t xml:space="preserve">For MN terminated bearer options that require Xn-U resources between the MN and the SN, the MN provides Xn-U UL TNL address information. For SN terminated bearers, the MN provides a list of available DRB IDs. </w:t>
      </w:r>
      <w:r>
        <w:rPr>
          <w:lang w:eastAsia="zh-CN"/>
        </w:rPr>
        <w:t xml:space="preserve">The S-NG-RAN node shall store this information and use it when establishing SN terminated bearers. </w:t>
      </w:r>
      <w:r>
        <w:t>The SN may reject the request.</w:t>
      </w:r>
    </w:p>
    <w:p w14:paraId="0467132C" w14:textId="77777777" w:rsidR="00146D15" w:rsidRDefault="00146D15" w:rsidP="00146D15">
      <w:pPr>
        <w:ind w:left="568" w:hanging="284"/>
      </w:pPr>
      <w:r>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01573A7C" w14:textId="77777777" w:rsidR="00146D15" w:rsidRDefault="00146D15" w:rsidP="00146D15">
      <w:pPr>
        <w:keepLines/>
        <w:ind w:left="1135" w:hanging="851"/>
        <w:rPr>
          <w:i/>
          <w:lang w:eastAsia="zh-CN"/>
        </w:rPr>
      </w:pPr>
      <w:r>
        <w:lastRenderedPageBreak/>
        <w:t xml:space="preserve">NOTE </w:t>
      </w:r>
      <w:r>
        <w:rPr>
          <w:rFonts w:hint="eastAsia"/>
          <w:lang w:eastAsia="zh-CN"/>
        </w:rPr>
        <w:t>6</w:t>
      </w:r>
      <w:r>
        <w:t>:</w:t>
      </w:r>
      <w:r>
        <w:tab/>
        <w:t xml:space="preserve">For split bearers, MCG and SCG resources may be requested of such an amount, that the QoS for the respective </w:t>
      </w:r>
      <w:r>
        <w:rPr>
          <w:lang w:eastAsia="zh-CN"/>
        </w:rPr>
        <w:t>QoS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r>
        <w:rPr>
          <w:lang w:eastAsia="zh-CN"/>
        </w:rPr>
        <w:t>QoS Flow</w:t>
      </w:r>
      <w:r>
        <w:t xml:space="preserve"> parameters signalled to the S</w:t>
      </w:r>
      <w:r>
        <w:rPr>
          <w:lang w:eastAsia="zh-CN"/>
        </w:rPr>
        <w:t>N</w:t>
      </w:r>
      <w:r>
        <w:t xml:space="preserve">, which may differ from </w:t>
      </w:r>
      <w:r>
        <w:rPr>
          <w:lang w:eastAsia="zh-CN"/>
        </w:rPr>
        <w:t>QoS Flow</w:t>
      </w:r>
      <w:r>
        <w:t xml:space="preserve"> parameters received over </w:t>
      </w:r>
      <w:r>
        <w:rPr>
          <w:lang w:eastAsia="zh-CN"/>
        </w:rPr>
        <w:t>NG</w:t>
      </w:r>
      <w:r>
        <w:t>.</w:t>
      </w:r>
    </w:p>
    <w:p w14:paraId="0A6B4834" w14:textId="77777777" w:rsidR="00146D15" w:rsidRDefault="00146D15" w:rsidP="00146D15">
      <w:pPr>
        <w:keepLines/>
        <w:ind w:left="1135" w:hanging="851"/>
        <w:rPr>
          <w:lang w:eastAsia="zh-CN"/>
        </w:rPr>
      </w:pPr>
      <w:r>
        <w:t xml:space="preserve">NOTE </w:t>
      </w:r>
      <w:r>
        <w:rPr>
          <w:rFonts w:hint="eastAsia"/>
          <w:lang w:eastAsia="zh-CN"/>
        </w:rPr>
        <w:t>7</w:t>
      </w:r>
      <w:r>
        <w:t>:</w:t>
      </w:r>
      <w:r>
        <w:tab/>
        <w:t>For a specific QoS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It is also allowed that all QoS flows can be mapped to</w:t>
      </w:r>
      <w:r>
        <w:t xml:space="preserve"> SN terminated bearers</w:t>
      </w:r>
      <w:r>
        <w:rPr>
          <w:rFonts w:eastAsia="Arial"/>
        </w:rPr>
        <w:t>, i.e. there is no QoS flow mapped to an MN terminated bearer.</w:t>
      </w:r>
      <w:r>
        <w:rPr>
          <w:rFonts w:hint="eastAsia"/>
          <w:lang w:eastAsia="zh-CN"/>
        </w:rPr>
        <w:t xml:space="preserve"> </w:t>
      </w:r>
    </w:p>
    <w:p w14:paraId="50BD99FB" w14:textId="567486F0" w:rsidR="00146D15" w:rsidRDefault="00146D15" w:rsidP="00146D15">
      <w:pPr>
        <w:ind w:left="568" w:hanging="284"/>
        <w:rPr>
          <w:lang w:eastAsia="zh-CN"/>
        </w:rPr>
      </w:pPr>
      <w:r>
        <w:t>2.</w:t>
      </w:r>
      <w:r>
        <w:tab/>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Within the list of </w:t>
      </w:r>
      <w:r>
        <w:rPr>
          <w:rFonts w:hint="eastAsia"/>
          <w:lang w:eastAsia="zh-CN"/>
        </w:rPr>
        <w:t xml:space="preserve">cells as indicated within the </w:t>
      </w:r>
      <w:r>
        <w:rPr>
          <w:lang w:eastAsia="zh-CN"/>
        </w:rPr>
        <w:t>measurement</w:t>
      </w:r>
      <w:r>
        <w:rPr>
          <w:rFonts w:hint="eastAsia"/>
          <w:lang w:eastAsia="zh-CN"/>
        </w:rPr>
        <w:t xml:space="preserve"> results</w:t>
      </w:r>
      <w:r>
        <w:t xml:space="preserve"> indicated by the MN, the SN decides the list of PSCell(s) to prepare and, for each prepared PSCell, the SN decides other SCG SCells and provides the new</w:t>
      </w:r>
      <w:r>
        <w:rPr>
          <w:rFonts w:hint="eastAsia"/>
          <w:lang w:eastAsia="zh-CN"/>
        </w:rPr>
        <w:t xml:space="preserve"> </w:t>
      </w:r>
      <w:r>
        <w:t>corresponding SCG radio resource configuration to the MN in an NR RRC configuration message (RRCReconfiguration***), contained in</w:t>
      </w:r>
      <w:r>
        <w:rPr>
          <w:lang w:eastAsia="zh-CN"/>
        </w:rPr>
        <w:t xml:space="preserve"> the </w:t>
      </w:r>
      <w:r>
        <w:rPr>
          <w:i/>
          <w:lang w:eastAsia="zh-CN"/>
        </w:rPr>
        <w:t>SN Addition Request Acknowledge</w:t>
      </w:r>
      <w:r>
        <w:rPr>
          <w:lang w:eastAsia="zh-CN"/>
        </w:rPr>
        <w:t xml:space="preserve"> message</w:t>
      </w:r>
      <w:r>
        <w:t xml:space="preserve">. The target SN can either accept or reject each of the candidate cells suggested by the </w:t>
      </w:r>
      <w:r>
        <w:rPr>
          <w:rFonts w:hint="eastAsia"/>
          <w:lang w:eastAsia="zh-CN"/>
        </w:rPr>
        <w:t>MN</w:t>
      </w:r>
      <w:r>
        <w:t>, i.e. it cannot come up with any alternative candidates</w:t>
      </w:r>
      <w:r>
        <w:rPr>
          <w:rFonts w:hint="eastAsia"/>
          <w:lang w:eastAsia="zh-CN"/>
        </w:rPr>
        <w:t xml:space="preserve">. </w:t>
      </w:r>
      <w: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14:paraId="14C910B3" w14:textId="77777777" w:rsidR="00146D15" w:rsidRDefault="00146D15" w:rsidP="00146D15">
      <w:pPr>
        <w:keepLines/>
        <w:ind w:left="1135" w:hanging="851"/>
      </w:pPr>
      <w:r>
        <w:t xml:space="preserve">NOTE </w:t>
      </w:r>
      <w:r>
        <w:rPr>
          <w:lang w:eastAsia="zh-CN"/>
        </w:rPr>
        <w:t>8</w:t>
      </w:r>
      <w:r>
        <w:t>:</w:t>
      </w:r>
      <w:r>
        <w:tab/>
        <w:t>For MN terminated bearers for which PDCP duplication with CA is configured in NR SCG side, the MN allocates up to 4 separate Xn-U bearers and the SN provides a logical channel ID for primary or split secondary path to the MN.</w:t>
      </w:r>
    </w:p>
    <w:p w14:paraId="00925FCC" w14:textId="77777777" w:rsidR="00146D15" w:rsidRDefault="00146D15" w:rsidP="00146D15">
      <w:pPr>
        <w:keepLines/>
        <w:ind w:left="1135" w:hanging="851"/>
        <w:rPr>
          <w:lang w:eastAsia="zh-CN"/>
        </w:rPr>
      </w:pPr>
      <w:r>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14:paraId="0A71D481" w14:textId="77777777" w:rsidR="00146D15" w:rsidRDefault="00146D15" w:rsidP="00146D15">
      <w:pPr>
        <w:ind w:left="568" w:hanging="284"/>
      </w:pPr>
      <w:r>
        <w:t>2a.</w:t>
      </w:r>
      <w:r>
        <w:tab/>
        <w:t xml:space="preserve">For SN terminated bearers using MCG resources, the MN provides Xn-U DL TNL address information in the </w:t>
      </w:r>
      <w:r>
        <w:rPr>
          <w:i/>
        </w:rPr>
        <w:t>Xn-U Address Indication</w:t>
      </w:r>
      <w:r>
        <w:t xml:space="preserve"> message.</w:t>
      </w:r>
    </w:p>
    <w:p w14:paraId="4BF1FF9A" w14:textId="77777777" w:rsidR="00146D15" w:rsidRDefault="00146D15" w:rsidP="00146D15">
      <w:pPr>
        <w:ind w:left="568" w:hanging="284"/>
        <w:rPr>
          <w:lang w:eastAsia="zh-CN"/>
        </w:rPr>
      </w:pPr>
      <w:r>
        <w:t>3.</w:t>
      </w:r>
      <w:r>
        <w:tab/>
        <w:t xml:space="preserve">The MN sends to the UE an </w:t>
      </w:r>
      <w:r>
        <w:rPr>
          <w:i/>
        </w:rPr>
        <w:t>RRC</w:t>
      </w:r>
      <w:r>
        <w:rPr>
          <w:i/>
          <w:lang w:eastAsia="zh-CN"/>
        </w:rPr>
        <w:t xml:space="preserve"> r</w:t>
      </w:r>
      <w:r>
        <w:rPr>
          <w:i/>
        </w:rPr>
        <w:t>econfiguration</w:t>
      </w:r>
      <w:r>
        <w:t xml:space="preserve"> message (</w:t>
      </w:r>
      <w:r>
        <w:rPr>
          <w:i/>
        </w:rPr>
        <w:t>RRC</w:t>
      </w:r>
      <w:r>
        <w:rPr>
          <w:i/>
          <w:lang w:eastAsia="zh-CN"/>
        </w:rPr>
        <w:t xml:space="preserve"> r</w:t>
      </w:r>
      <w:r>
        <w:rPr>
          <w:i/>
        </w:rPr>
        <w:t>econfiguration</w:t>
      </w:r>
      <w:r>
        <w:rPr>
          <w:i/>
          <w:lang w:eastAsia="zh-CN"/>
        </w:rPr>
        <w:t xml:space="preserve">*) </w:t>
      </w:r>
      <w:r>
        <w:rPr>
          <w:lang w:eastAsia="zh-CN"/>
        </w:rPr>
        <w:t xml:space="preserve">including the CPA configuration, (i.e. a list of </w:t>
      </w:r>
      <w:r>
        <w:rPr>
          <w:i/>
          <w:lang w:eastAsia="zh-CN"/>
        </w:rPr>
        <w:t>RRC</w:t>
      </w:r>
      <w:r>
        <w:rPr>
          <w:rFonts w:hint="eastAsia"/>
          <w:i/>
          <w:lang w:eastAsia="zh-CN"/>
        </w:rPr>
        <w:t xml:space="preserve"> r</w:t>
      </w:r>
      <w:r>
        <w:rPr>
          <w:i/>
        </w:rPr>
        <w:t>econfiguration</w:t>
      </w:r>
      <w:r>
        <w:rPr>
          <w:rFonts w:hint="eastAsia"/>
          <w:i/>
          <w:lang w:eastAsia="zh-CN"/>
        </w:rPr>
        <w:t xml:space="preserve"> </w:t>
      </w:r>
      <w:r>
        <w:rPr>
          <w:rFonts w:hint="eastAsia"/>
          <w:lang w:eastAsia="zh-CN"/>
        </w:rPr>
        <w:t>message</w:t>
      </w:r>
      <w:r>
        <w:rPr>
          <w:lang w:eastAsia="zh-CN"/>
        </w:rPr>
        <w:t>s</w:t>
      </w:r>
      <w:r>
        <w:rPr>
          <w:rFonts w:hint="eastAsia"/>
          <w:lang w:eastAsia="zh-CN"/>
        </w:rPr>
        <w:t xml:space="preserve"> </w:t>
      </w:r>
      <w:r>
        <w:rPr>
          <w:i/>
        </w:rPr>
        <w:t>RRC</w:t>
      </w:r>
      <w:r>
        <w:rPr>
          <w:rFonts w:hint="eastAsia"/>
          <w:i/>
          <w:lang w:eastAsia="zh-CN"/>
        </w:rPr>
        <w:t xml:space="preserve"> r</w:t>
      </w:r>
      <w:r>
        <w:rPr>
          <w:i/>
        </w:rPr>
        <w:t>econfiguration</w:t>
      </w:r>
      <w:r>
        <w:rPr>
          <w:rFonts w:hint="eastAsia"/>
          <w:i/>
          <w:lang w:eastAsia="zh-CN"/>
        </w:rPr>
        <w:t>*</w:t>
      </w:r>
      <w:r>
        <w:rPr>
          <w:i/>
          <w:lang w:eastAsia="zh-CN"/>
        </w:rPr>
        <w:t>*</w:t>
      </w:r>
      <w:r>
        <w:rPr>
          <w:lang w:eastAsia="zh-CN"/>
        </w:rPr>
        <w:t>)</w:t>
      </w:r>
      <w:r>
        <w:rPr>
          <w:i/>
          <w:vertAlign w:val="subscript"/>
          <w:lang w:eastAsia="zh-CN"/>
        </w:rPr>
        <w:t xml:space="preserve"> </w:t>
      </w:r>
      <w:r>
        <w:rPr>
          <w:lang w:eastAsia="zh-CN"/>
        </w:rPr>
        <w:t xml:space="preserve">and associated execution conditions, in which </w:t>
      </w:r>
      <w:r>
        <w:rPr>
          <w:i/>
        </w:rPr>
        <w:t>RRC</w:t>
      </w:r>
      <w:r>
        <w:rPr>
          <w:rFonts w:hint="eastAsia"/>
          <w:i/>
          <w:lang w:eastAsia="zh-CN"/>
        </w:rPr>
        <w:t xml:space="preserve"> r</w:t>
      </w:r>
      <w:r>
        <w:rPr>
          <w:i/>
        </w:rPr>
        <w:t>econfiguration</w:t>
      </w:r>
      <w:r>
        <w:rPr>
          <w:rFonts w:hint="eastAsia"/>
          <w:i/>
          <w:lang w:eastAsia="zh-CN"/>
        </w:rPr>
        <w:t>*</w:t>
      </w:r>
      <w:r>
        <w:rPr>
          <w:i/>
          <w:lang w:eastAsia="zh-CN"/>
        </w:rPr>
        <w:t>*</w:t>
      </w:r>
      <w:r>
        <w:rPr>
          <w:i/>
          <w:vertAlign w:val="subscript"/>
          <w:lang w:eastAsia="zh-CN"/>
        </w:rPr>
        <w:t xml:space="preserve"> </w:t>
      </w:r>
      <w:r>
        <w:rPr>
          <w:lang w:eastAsia="zh-CN"/>
        </w:rPr>
        <w:t xml:space="preserve">contains </w:t>
      </w:r>
      <w:r>
        <w:rPr>
          <w:i/>
        </w:rPr>
        <w:t>RRCReconfiguration</w:t>
      </w:r>
      <w:r>
        <w:rPr>
          <w:rFonts w:hint="eastAsia"/>
          <w:i/>
          <w:lang w:eastAsia="zh-CN"/>
        </w:rPr>
        <w:t>*</w:t>
      </w:r>
      <w:r>
        <w:rPr>
          <w:i/>
          <w:lang w:eastAsia="zh-CN"/>
        </w:rPr>
        <w:t>**</w:t>
      </w:r>
      <w:r>
        <w:rPr>
          <w:i/>
          <w:vertAlign w:val="subscript"/>
          <w:lang w:eastAsia="zh-CN"/>
        </w:rPr>
        <w:t xml:space="preserve"> </w:t>
      </w:r>
      <w:r>
        <w:t>received from the candidate SN</w:t>
      </w:r>
      <w:r>
        <w:rPr>
          <w:rFonts w:hint="eastAsia"/>
          <w:lang w:eastAsia="zh-CN"/>
        </w:rPr>
        <w:t xml:space="preserve">. </w:t>
      </w:r>
      <w:r>
        <w:rPr>
          <w:lang w:eastAsia="zh-CN"/>
        </w:rPr>
        <w:t>Besides,</w:t>
      </w:r>
      <w:r>
        <w:rPr>
          <w:rFonts w:hint="eastAsia"/>
          <w:lang w:eastAsia="zh-CN"/>
        </w:rPr>
        <w:t xml:space="preserve"> the </w:t>
      </w:r>
      <w:r>
        <w:rPr>
          <w:i/>
        </w:rPr>
        <w:t>RRC</w:t>
      </w:r>
      <w:r>
        <w:rPr>
          <w:rFonts w:hint="eastAsia"/>
          <w:i/>
          <w:lang w:eastAsia="zh-CN"/>
        </w:rPr>
        <w:t xml:space="preserve"> r</w:t>
      </w:r>
      <w:r>
        <w:rPr>
          <w:i/>
        </w:rPr>
        <w:t>econfiguration</w:t>
      </w:r>
      <w:r>
        <w:t xml:space="preserve"> message (</w:t>
      </w:r>
      <w:r>
        <w:rPr>
          <w:i/>
        </w:rPr>
        <w:t>RRC</w:t>
      </w:r>
      <w:r>
        <w:rPr>
          <w:rFonts w:hint="eastAsia"/>
          <w:i/>
          <w:lang w:eastAsia="zh-CN"/>
        </w:rPr>
        <w:t xml:space="preserve"> r</w:t>
      </w:r>
      <w:r>
        <w:rPr>
          <w:i/>
        </w:rPr>
        <w:t>econfiguration</w:t>
      </w:r>
      <w:r>
        <w:rPr>
          <w:i/>
          <w:lang w:eastAsia="zh-CN"/>
        </w:rPr>
        <w:t>*</w:t>
      </w:r>
      <w:r>
        <w:rPr>
          <w:lang w:eastAsia="zh-CN"/>
        </w:rPr>
        <w:t>)</w:t>
      </w:r>
      <w:r>
        <w:rPr>
          <w:i/>
          <w:lang w:eastAsia="zh-CN"/>
        </w:rPr>
        <w:t xml:space="preserve"> </w:t>
      </w:r>
      <w:r>
        <w:rPr>
          <w:rFonts w:hint="eastAsia"/>
          <w:lang w:eastAsia="zh-CN"/>
        </w:rPr>
        <w:t xml:space="preserve">can also include the current MCG updated </w:t>
      </w:r>
      <w:r>
        <w:rPr>
          <w:lang w:eastAsia="zh-CN"/>
        </w:rPr>
        <w:t>configuration</w:t>
      </w:r>
      <w:r>
        <w:rPr>
          <w:rFonts w:hint="eastAsia"/>
          <w:lang w:eastAsia="zh-CN"/>
        </w:rPr>
        <w:t xml:space="preserve">. e.g. </w:t>
      </w:r>
      <w:r>
        <w:rPr>
          <w:lang w:eastAsia="zh-CN"/>
        </w:rPr>
        <w:t>to configure the required conditional measurements</w:t>
      </w:r>
      <w:r>
        <w:rPr>
          <w:rFonts w:hint="eastAsia"/>
          <w:lang w:eastAsia="zh-CN"/>
        </w:rPr>
        <w:t>.</w:t>
      </w:r>
    </w:p>
    <w:p w14:paraId="1DE798C4" w14:textId="77777777" w:rsidR="00146D15" w:rsidRDefault="00146D15" w:rsidP="00146D15">
      <w:pPr>
        <w:ind w:left="568" w:hanging="284"/>
      </w:pPr>
      <w:r>
        <w:t>Editor’s Note: it is FFS how to capture the following agreement: The message carrying ‎conditionalReconfiguration for CPA/CPC is in MN format (i.e. contains ‎both MCG and SCG re-configurations).</w:t>
      </w:r>
    </w:p>
    <w:p w14:paraId="58DC62E1" w14:textId="77777777" w:rsidR="00146D15" w:rsidRDefault="00146D15" w:rsidP="00146D15">
      <w:pPr>
        <w:ind w:left="568" w:hanging="284"/>
        <w:rPr>
          <w:lang w:eastAsia="zh-CN"/>
        </w:rPr>
      </w:pPr>
      <w:r>
        <w:t>4.</w:t>
      </w:r>
      <w:r>
        <w:tab/>
      </w:r>
      <w:r>
        <w:rPr>
          <w:rFonts w:hint="eastAsia"/>
          <w:lang w:eastAsia="zh-CN"/>
        </w:rPr>
        <w:t>T</w:t>
      </w:r>
      <w:r>
        <w:t xml:space="preserve">he UE applies the RRC configuration (in </w:t>
      </w:r>
      <w:r>
        <w:rPr>
          <w:i/>
        </w:rPr>
        <w:t>RRC</w:t>
      </w:r>
      <w:r>
        <w:rPr>
          <w:rFonts w:hint="eastAsia"/>
          <w:i/>
          <w:lang w:eastAsia="zh-CN"/>
        </w:rPr>
        <w:t xml:space="preserve"> r</w:t>
      </w:r>
      <w:r>
        <w:rPr>
          <w:i/>
        </w:rPr>
        <w:t>econfiguration</w:t>
      </w:r>
      <w:r>
        <w:rPr>
          <w:rFonts w:hint="eastAsia"/>
          <w:i/>
          <w:lang w:eastAsia="zh-CN"/>
        </w:rPr>
        <w:t>*</w:t>
      </w:r>
      <w:r>
        <w:rPr>
          <w:lang w:eastAsia="zh-CN"/>
        </w:rPr>
        <w:t>)</w:t>
      </w:r>
      <w:r>
        <w:rPr>
          <w:rFonts w:hint="eastAsia"/>
          <w:lang w:eastAsia="zh-CN"/>
        </w:rPr>
        <w:t xml:space="preserve"> exclud</w:t>
      </w:r>
      <w:r>
        <w:rPr>
          <w:lang w:eastAsia="zh-CN"/>
        </w:rPr>
        <w:t>ing</w:t>
      </w:r>
      <w:r>
        <w:rPr>
          <w:rFonts w:hint="eastAsia"/>
          <w:lang w:eastAsia="zh-CN"/>
        </w:rPr>
        <w:t xml:space="preserve"> the CPA configuration</w:t>
      </w:r>
      <w:r>
        <w:rPr>
          <w:lang w:eastAsia="zh-CN"/>
        </w:rPr>
        <w:t>,</w:t>
      </w:r>
      <w:r>
        <w:rPr>
          <w:rFonts w:hint="eastAsia"/>
          <w:lang w:eastAsia="zh-CN"/>
        </w:rPr>
        <w:t xml:space="preserve"> </w:t>
      </w:r>
      <w:r>
        <w:rPr>
          <w:lang w:eastAsia="zh-CN"/>
        </w:rPr>
        <w:t>stores the CPA configuration</w:t>
      </w:r>
      <w:r>
        <w:rPr>
          <w:rFonts w:hint="eastAsia"/>
          <w:i/>
          <w:lang w:eastAsia="zh-CN"/>
        </w:rPr>
        <w:t xml:space="preserve"> </w:t>
      </w:r>
      <w:r>
        <w:rPr>
          <w:rFonts w:hint="eastAsia"/>
          <w:lang w:eastAsia="zh-CN"/>
        </w:rPr>
        <w:t xml:space="preserve">and </w:t>
      </w:r>
      <w:r>
        <w:t xml:space="preserve">replies to the MN with an </w:t>
      </w:r>
      <w:r>
        <w:rPr>
          <w:i/>
        </w:rPr>
        <w:t>RRC</w:t>
      </w:r>
      <w:r>
        <w:rPr>
          <w:rFonts w:hint="eastAsia"/>
          <w:i/>
          <w:lang w:eastAsia="zh-CN"/>
        </w:rPr>
        <w:t xml:space="preserve"> r</w:t>
      </w:r>
      <w:r>
        <w:rPr>
          <w:i/>
        </w:rPr>
        <w:t>econfiguration</w:t>
      </w:r>
      <w:r>
        <w:rPr>
          <w:rFonts w:hint="eastAsia"/>
          <w:i/>
          <w:lang w:eastAsia="zh-CN"/>
        </w:rPr>
        <w:t xml:space="preserve"> c</w:t>
      </w:r>
      <w:r>
        <w:rPr>
          <w:i/>
        </w:rPr>
        <w:t>omplete</w:t>
      </w:r>
      <w:r>
        <w:t xml:space="preserve"> message (</w:t>
      </w:r>
      <w:r>
        <w:rPr>
          <w:rFonts w:hint="eastAsia"/>
          <w:i/>
          <w:lang w:eastAsia="zh-CN"/>
        </w:rPr>
        <w:t>R</w:t>
      </w:r>
      <w:r>
        <w:rPr>
          <w:i/>
        </w:rPr>
        <w:t>RC</w:t>
      </w:r>
      <w:r>
        <w:rPr>
          <w:rFonts w:hint="eastAsia"/>
          <w:i/>
          <w:lang w:eastAsia="zh-CN"/>
        </w:rPr>
        <w:t xml:space="preserve"> r</w:t>
      </w:r>
      <w:r>
        <w:rPr>
          <w:i/>
        </w:rPr>
        <w:t>econfiguration</w:t>
      </w:r>
      <w:r>
        <w:rPr>
          <w:rFonts w:hint="eastAsia"/>
          <w:i/>
          <w:lang w:eastAsia="zh-CN"/>
        </w:rPr>
        <w:t xml:space="preserve"> c</w:t>
      </w:r>
      <w:r>
        <w:rPr>
          <w:i/>
        </w:rPr>
        <w:t>omplete</w:t>
      </w:r>
      <w:r>
        <w:rPr>
          <w:rFonts w:hint="eastAsia"/>
          <w:i/>
          <w:lang w:eastAsia="zh-CN"/>
        </w:rPr>
        <w:t>*</w:t>
      </w:r>
      <w:r>
        <w:rPr>
          <w:lang w:eastAsia="zh-CN"/>
        </w:rPr>
        <w:t>)</w:t>
      </w:r>
      <w:r>
        <w:t xml:space="preserve"> without any NR SN RRC response messag). In case the UE is unable to comply with (part of) the configuration included in the </w:t>
      </w:r>
      <w:r>
        <w:rPr>
          <w:i/>
        </w:rPr>
        <w:t>RRC</w:t>
      </w:r>
      <w:r>
        <w:rPr>
          <w:rFonts w:hint="eastAsia"/>
          <w:i/>
          <w:lang w:eastAsia="zh-CN"/>
        </w:rPr>
        <w:t xml:space="preserve"> r</w:t>
      </w:r>
      <w:r>
        <w:rPr>
          <w:i/>
        </w:rPr>
        <w:t>econfiguration</w:t>
      </w:r>
      <w:r>
        <w:rPr>
          <w:rFonts w:hint="eastAsia"/>
          <w:i/>
          <w:lang w:eastAsia="zh-CN"/>
        </w:rPr>
        <w:t>*</w:t>
      </w:r>
      <w:r>
        <w:t xml:space="preserve"> message, it performs the reconfiguration failure procedure.</w:t>
      </w:r>
    </w:p>
    <w:p w14:paraId="19CA3D1D" w14:textId="77777777" w:rsidR="00146D15" w:rsidRDefault="00146D15" w:rsidP="00146D15">
      <w:pPr>
        <w:ind w:left="568" w:hanging="284"/>
      </w:pPr>
      <w:r>
        <w:rPr>
          <w:rFonts w:hint="eastAsia"/>
          <w:lang w:eastAsia="zh-CN"/>
        </w:rPr>
        <w:t>4</w:t>
      </w:r>
      <w:r>
        <w:rPr>
          <w:lang w:eastAsia="zh-CN"/>
        </w:rPr>
        <w:t>a.</w:t>
      </w:r>
      <w:r>
        <w:rPr>
          <w:rFonts w:hint="eastAsia"/>
          <w:lang w:eastAsia="zh-CN"/>
        </w:rPr>
        <w:t xml:space="preserve"> 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rFonts w:hint="eastAsia"/>
          <w:i/>
          <w:lang w:eastAsia="zh-CN"/>
        </w:rPr>
        <w:t xml:space="preserve"> r</w:t>
      </w:r>
      <w:r>
        <w:rPr>
          <w:i/>
        </w:rPr>
        <w:t>econfiguration</w:t>
      </w:r>
      <w:r>
        <w:rPr>
          <w:rFonts w:hint="eastAsia"/>
          <w:lang w:eastAsia="zh-CN"/>
        </w:rPr>
        <w:t xml:space="preserve"> message (</w:t>
      </w:r>
      <w:r>
        <w:rPr>
          <w:i/>
        </w:rPr>
        <w:t>RRC</w:t>
      </w:r>
      <w:r>
        <w:rPr>
          <w:rFonts w:hint="eastAsia"/>
          <w:i/>
          <w:lang w:eastAsia="zh-CN"/>
        </w:rPr>
        <w:t xml:space="preserve"> r</w:t>
      </w:r>
      <w:r>
        <w:rPr>
          <w:i/>
        </w:rPr>
        <w:t>econfiguration</w:t>
      </w:r>
      <w:r>
        <w:t>*</w:t>
      </w:r>
      <w:r>
        <w:rPr>
          <w:rFonts w:hint="eastAsia"/>
          <w:lang w:eastAsia="zh-CN"/>
        </w:rPr>
        <w:t xml:space="preserve">*) </w:t>
      </w:r>
      <w:r>
        <w:t xml:space="preserve">corresponding to </w:t>
      </w:r>
      <w:r>
        <w:rPr>
          <w:rFonts w:eastAsia="SimSun"/>
          <w:lang w:eastAsia="zh-CN"/>
        </w:rPr>
        <w:t>the</w:t>
      </w:r>
      <w:r>
        <w:t xml:space="preserve"> selected candidate </w:t>
      </w:r>
      <w:r>
        <w:rPr>
          <w:lang w:eastAsia="zh-CN"/>
        </w:rPr>
        <w:t>PSC</w:t>
      </w:r>
      <w:r>
        <w:t xml:space="preserve">ell, and sends an MN </w:t>
      </w:r>
      <w:r>
        <w:rPr>
          <w:i/>
        </w:rPr>
        <w:t>RRC</w:t>
      </w:r>
      <w:r>
        <w:rPr>
          <w:rFonts w:hint="eastAsia"/>
          <w:i/>
          <w:lang w:eastAsia="zh-CN"/>
        </w:rPr>
        <w:t xml:space="preserve"> reconfiguration c</w:t>
      </w:r>
      <w:r>
        <w:rPr>
          <w:i/>
        </w:rPr>
        <w:t>omplete</w:t>
      </w:r>
      <w:r>
        <w:t xml:space="preserve"> message (</w:t>
      </w:r>
      <w:r>
        <w:rPr>
          <w:i/>
        </w:rPr>
        <w:t>RRC</w:t>
      </w:r>
      <w:r>
        <w:rPr>
          <w:rFonts w:hint="eastAsia"/>
          <w:i/>
          <w:lang w:eastAsia="zh-CN"/>
        </w:rPr>
        <w:t xml:space="preserve"> r</w:t>
      </w:r>
      <w:r>
        <w:rPr>
          <w:i/>
        </w:rPr>
        <w:t>econfiguration</w:t>
      </w:r>
      <w:r>
        <w:rPr>
          <w:rFonts w:hint="eastAsia"/>
          <w:i/>
          <w:lang w:eastAsia="zh-CN"/>
        </w:rPr>
        <w:t xml:space="preserve"> c</w:t>
      </w:r>
      <w:r>
        <w:rPr>
          <w:i/>
        </w:rPr>
        <w:t>omplete</w:t>
      </w:r>
      <w:r>
        <w:rPr>
          <w:rFonts w:hint="eastAsia"/>
          <w:lang w:eastAsia="zh-CN"/>
        </w:rPr>
        <w:t>**</w:t>
      </w:r>
      <w:r>
        <w:rPr>
          <w:lang w:eastAsia="zh-CN"/>
        </w:rPr>
        <w:t>)</w:t>
      </w:r>
      <w:r>
        <w:t>, including an NR RRC reconfiguration complete message (</w:t>
      </w:r>
      <w:r>
        <w:rPr>
          <w:i/>
        </w:rPr>
        <w:t>RRCReconfigurationComplete**</w:t>
      </w:r>
      <w:r>
        <w:rPr>
          <w:rFonts w:hint="eastAsia"/>
          <w:i/>
          <w:lang w:eastAsia="zh-CN"/>
        </w:rPr>
        <w:t>*</w:t>
      </w:r>
      <w:r>
        <w:rPr>
          <w:lang w:eastAsia="zh-CN"/>
        </w:rPr>
        <w:t>)</w:t>
      </w:r>
      <w:r>
        <w:t xml:space="preserve"> for the selected candidate PSCell, and the selected PSCell information to the MN.</w:t>
      </w:r>
    </w:p>
    <w:p w14:paraId="7E97402C" w14:textId="4F6985EB" w:rsidR="00146D15" w:rsidRDefault="00146D15" w:rsidP="00146D15">
      <w:pPr>
        <w:ind w:left="568" w:hanging="284"/>
      </w:pPr>
      <w:r>
        <w:t>5.</w:t>
      </w:r>
      <w:r>
        <w:tab/>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r>
        <w:rPr>
          <w:rFonts w:eastAsia="PMingLiU"/>
          <w:i/>
          <w:lang w:eastAsia="zh-TW"/>
        </w:rPr>
        <w:t>RRCReconfigurationComplete</w:t>
      </w:r>
      <w:r>
        <w:rPr>
          <w:rFonts w:eastAsia="SimSun" w:hint="eastAsia"/>
          <w:i/>
          <w:lang w:val="en-US" w:eastAsia="zh-CN"/>
        </w:rPr>
        <w:t>***</w:t>
      </w:r>
      <w:r>
        <w:rPr>
          <w:rFonts w:eastAsia="SimSun"/>
          <w:i/>
          <w:lang w:val="en-US" w:eastAsia="zh-CN"/>
        </w:rPr>
        <w:t xml:space="preserve"> </w:t>
      </w:r>
      <w:r>
        <w:rPr>
          <w:lang w:eastAsia="zh-CN"/>
        </w:rPr>
        <w:t>response message</w:t>
      </w:r>
      <w:r>
        <w:t>.</w:t>
      </w:r>
      <w:r>
        <w:rPr>
          <w:rFonts w:hint="eastAsia"/>
          <w:lang w:eastAsia="zh-CN"/>
        </w:rPr>
        <w:t xml:space="preserve"> </w:t>
      </w:r>
      <w:r>
        <w:t>The MN cancels CPA in the other target candidate SNs, if configured.</w:t>
      </w:r>
    </w:p>
    <w:p w14:paraId="0B85D27F" w14:textId="77777777" w:rsidR="00146D15" w:rsidRDefault="00146D15" w:rsidP="00146D15">
      <w:pPr>
        <w:ind w:left="568" w:hanging="284"/>
      </w:pPr>
      <w:r>
        <w:t>Editor’s Note: it is FFS what defines a successful reconfiguration procedure</w:t>
      </w:r>
    </w:p>
    <w:p w14:paraId="27E90504" w14:textId="77777777" w:rsidR="00146D15" w:rsidRDefault="00146D15" w:rsidP="00146D15">
      <w:pPr>
        <w:ind w:left="568" w:hanging="284"/>
      </w:pPr>
      <w:r>
        <w:t>6.</w:t>
      </w:r>
      <w:r>
        <w:tab/>
      </w:r>
      <w:r>
        <w:rPr>
          <w:rFonts w:hint="eastAsia"/>
          <w:lang w:eastAsia="zh-CN"/>
        </w:rPr>
        <w:t>T</w:t>
      </w:r>
      <w:r>
        <w:t xml:space="preserve">he UE performs synchronisation towards the </w:t>
      </w:r>
      <w:r>
        <w:rPr>
          <w:rFonts w:hint="eastAsia"/>
          <w:lang w:eastAsia="zh-CN"/>
        </w:rPr>
        <w:t>selected</w:t>
      </w:r>
      <w:r>
        <w:t xml:space="preserve"> PSCell indicated in </w:t>
      </w:r>
      <w:r>
        <w:rPr>
          <w:i/>
        </w:rPr>
        <w:t>RRC</w:t>
      </w:r>
      <w:r>
        <w:rPr>
          <w:rFonts w:hint="eastAsia"/>
          <w:i/>
          <w:lang w:eastAsia="zh-CN"/>
        </w:rPr>
        <w:t xml:space="preserve"> r</w:t>
      </w:r>
      <w:r>
        <w:rPr>
          <w:i/>
        </w:rPr>
        <w:t>econfiguration</w:t>
      </w:r>
      <w:r>
        <w:t>*</w:t>
      </w:r>
      <w:r>
        <w:rPr>
          <w:rFonts w:hint="eastAsia"/>
          <w:lang w:eastAsia="zh-CN"/>
        </w:rPr>
        <w:t>*</w:t>
      </w:r>
      <w:r>
        <w:t>. The order the UE sends the MN</w:t>
      </w:r>
      <w:r>
        <w:rPr>
          <w:i/>
        </w:rPr>
        <w:t xml:space="preserve"> RRC reconfiguration complete</w:t>
      </w:r>
      <w:r>
        <w:rPr>
          <w:rFonts w:hint="eastAsia"/>
          <w:lang w:eastAsia="zh-CN"/>
        </w:rPr>
        <w:t xml:space="preserve">** </w:t>
      </w:r>
      <w:r>
        <w:t xml:space="preserve">message and performs the Random Access procedure </w:t>
      </w:r>
      <w:r>
        <w:lastRenderedPageBreak/>
        <w:t>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14:paraId="31722ABE" w14:textId="77777777" w:rsidR="00146D15" w:rsidRDefault="00146D15" w:rsidP="00146D15">
      <w:pPr>
        <w:ind w:left="568" w:hanging="284"/>
      </w:pPr>
      <w:r>
        <w:t>7.</w:t>
      </w:r>
      <w:r>
        <w:tab/>
        <w:t>If PDCP termination point is changed to the SN for bearers using RLC AM, and when RRC full configuration is not used, the MN sends the SN Status Transfer.</w:t>
      </w:r>
    </w:p>
    <w:p w14:paraId="03DE8F06" w14:textId="77777777" w:rsidR="00146D15" w:rsidRDefault="00146D15" w:rsidP="00146D15">
      <w:pPr>
        <w:ind w:left="568" w:hanging="284"/>
        <w:rPr>
          <w:lang w:eastAsia="zh-CN"/>
        </w:rPr>
      </w:pPr>
      <w:r>
        <w:t>8.</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14:paraId="0C217E0C" w14:textId="77777777" w:rsidR="00146D15" w:rsidRDefault="00146D15" w:rsidP="00146D15">
      <w:pPr>
        <w:ind w:left="568" w:hanging="284"/>
        <w:rPr>
          <w:lang w:eastAsia="zh-CN"/>
        </w:rPr>
      </w:pPr>
      <w:r>
        <w:t>9-12.</w:t>
      </w:r>
      <w:r>
        <w:tab/>
        <w:t>If applicable, the update of the UP path towards the 5GC is performed</w:t>
      </w:r>
      <w:r>
        <w:rPr>
          <w:lang w:eastAsia="zh-CN"/>
        </w:rPr>
        <w:t xml:space="preserve"> via a PDU Session Path Update procedure</w:t>
      </w:r>
      <w:r>
        <w:rPr>
          <w:i/>
        </w:rPr>
        <w:t>.</w:t>
      </w:r>
    </w:p>
    <w:p w14:paraId="7BED53EB" w14:textId="77777777" w:rsidR="00146D15" w:rsidRDefault="00146D15" w:rsidP="00146D1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46" w:name="OLE_LINK28"/>
      <w:bookmarkStart w:id="47" w:name="OLE_LINK27"/>
      <w:r>
        <w:rPr>
          <w:rFonts w:eastAsia="SimSun" w:hint="eastAsia"/>
          <w:bCs/>
          <w:i/>
          <w:sz w:val="22"/>
          <w:szCs w:val="22"/>
          <w:lang w:val="en-US" w:eastAsia="zh-CN"/>
        </w:rPr>
        <w:t>NEXT</w:t>
      </w:r>
      <w:bookmarkEnd w:id="46"/>
      <w:bookmarkEnd w:id="47"/>
      <w:r>
        <w:rPr>
          <w:rFonts w:eastAsia="Calibri"/>
          <w:bCs/>
          <w:i/>
          <w:sz w:val="22"/>
          <w:szCs w:val="22"/>
          <w:lang w:val="en-US" w:eastAsia="ko-KR"/>
        </w:rPr>
        <w:t xml:space="preserve"> CHANGE</w:t>
      </w:r>
    </w:p>
    <w:p w14:paraId="57BAB9E3" w14:textId="317A2836" w:rsidR="00146D15" w:rsidRDefault="00146D15" w:rsidP="008276A5">
      <w:pPr>
        <w:pStyle w:val="BodyText"/>
      </w:pPr>
    </w:p>
    <w:p w14:paraId="366564ED" w14:textId="77777777" w:rsidR="00146D15" w:rsidRDefault="00146D15" w:rsidP="008276A5">
      <w:pPr>
        <w:pStyle w:val="BodyText"/>
      </w:pPr>
    </w:p>
    <w:p w14:paraId="48AF29AD" w14:textId="77777777" w:rsidR="00C527B6" w:rsidRDefault="00C527B6" w:rsidP="00C527B6">
      <w:pPr>
        <w:pStyle w:val="Reference"/>
        <w:numPr>
          <w:ilvl w:val="0"/>
          <w:numId w:val="0"/>
        </w:numPr>
        <w:ind w:left="567" w:hanging="567"/>
        <w:rPr>
          <w:rFonts w:eastAsiaTheme="minorEastAsia"/>
        </w:rPr>
      </w:pPr>
    </w:p>
    <w:p w14:paraId="7CA89BFB" w14:textId="77777777" w:rsidR="00C527B6" w:rsidRPr="00CE0424" w:rsidRDefault="00C527B6" w:rsidP="00C527B6">
      <w:pPr>
        <w:pStyle w:val="Reference"/>
        <w:numPr>
          <w:ilvl w:val="0"/>
          <w:numId w:val="0"/>
        </w:numPr>
        <w:ind w:left="567" w:hanging="567"/>
      </w:pPr>
    </w:p>
    <w:sectPr w:rsidR="00C527B6"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A6D8C" w16cex:dateUtc="2022-02-06T14:53:00Z"/>
  <w16cex:commentExtensible w16cex:durableId="25AA53F9" w16cex:dateUtc="2022-02-06T13:04:00Z"/>
  <w16cex:commentExtensible w16cex:durableId="25AA5422" w16cex:dateUtc="2022-02-06T13:05:00Z"/>
  <w16cex:commentExtensible w16cex:durableId="25AA555D" w16cex:dateUtc="2022-02-06T13:10:00Z"/>
  <w16cex:commentExtensible w16cex:durableId="25AA54C0" w16cex:dateUtc="2022-02-06T13:08:00Z"/>
  <w16cex:commentExtensible w16cex:durableId="25AA55E8" w16cex:dateUtc="2022-02-06T13:12:00Z"/>
  <w16cex:commentExtensible w16cex:durableId="25AA5599" w16cex:dateUtc="2022-02-06T13:11:00Z"/>
  <w16cex:commentExtensible w16cex:durableId="25AA55CE" w16cex:dateUtc="2022-02-06T13:12:00Z"/>
  <w16cex:commentExtensible w16cex:durableId="25AA567F" w16cex:dateUtc="2022-02-06T13:15:00Z"/>
  <w16cex:commentExtensible w16cex:durableId="25AA5730" w16cex:dateUtc="2022-02-06T13:18:00Z"/>
  <w16cex:commentExtensible w16cex:durableId="25AA5756" w16cex:dateUtc="2022-02-06T13:19:00Z"/>
  <w16cex:commentExtensible w16cex:durableId="25AA5762" w16cex:dateUtc="2022-02-06T13:19:00Z"/>
  <w16cex:commentExtensible w16cex:durableId="25AA578A" w16cex:dateUtc="2022-02-06T13:19:00Z"/>
  <w16cex:commentExtensible w16cex:durableId="25AA5810" w16cex:dateUtc="2022-02-06T13:22:00Z"/>
  <w16cex:commentExtensible w16cex:durableId="25AA5976" w16cex:dateUtc="2022-02-06T13:28:00Z"/>
  <w16cex:commentExtensible w16cex:durableId="25AA6BC5" w16cex:dateUtc="2022-02-06T14: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73235" w14:textId="77777777" w:rsidR="000E5152" w:rsidRDefault="000E5152">
      <w:r>
        <w:separator/>
      </w:r>
    </w:p>
  </w:endnote>
  <w:endnote w:type="continuationSeparator" w:id="0">
    <w:p w14:paraId="56BA90B1" w14:textId="77777777" w:rsidR="000E5152" w:rsidRDefault="000E5152">
      <w:r>
        <w:continuationSeparator/>
      </w:r>
    </w:p>
  </w:endnote>
  <w:endnote w:type="continuationNotice" w:id="1">
    <w:p w14:paraId="17ACECC2" w14:textId="77777777" w:rsidR="000E5152" w:rsidRDefault="000E51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38E8A" w14:textId="77777777" w:rsidR="00B860CA" w:rsidRDefault="00B860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C249D" w14:textId="77777777" w:rsidR="000E5152" w:rsidRDefault="000E5152">
      <w:r>
        <w:separator/>
      </w:r>
    </w:p>
  </w:footnote>
  <w:footnote w:type="continuationSeparator" w:id="0">
    <w:p w14:paraId="26E89CB8" w14:textId="77777777" w:rsidR="000E5152" w:rsidRDefault="000E5152">
      <w:r>
        <w:continuationSeparator/>
      </w:r>
    </w:p>
  </w:footnote>
  <w:footnote w:type="continuationNotice" w:id="1">
    <w:p w14:paraId="22317FD4" w14:textId="77777777" w:rsidR="000E5152" w:rsidRDefault="000E51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D81CD" w14:textId="77777777" w:rsidR="00B860CA" w:rsidRDefault="00B860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CC1B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8C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760530"/>
    <w:multiLevelType w:val="hybridMultilevel"/>
    <w:tmpl w:val="F4BC6FB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F63DBA"/>
    <w:multiLevelType w:val="hybridMultilevel"/>
    <w:tmpl w:val="803E2C16"/>
    <w:lvl w:ilvl="0" w:tplc="041D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7E26E0"/>
    <w:multiLevelType w:val="hybridMultilevel"/>
    <w:tmpl w:val="38C8A07C"/>
    <w:lvl w:ilvl="0" w:tplc="041D0019">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6" w15:restartNumberingAfterBreak="0">
    <w:nsid w:val="07B83DEB"/>
    <w:multiLevelType w:val="hybridMultilevel"/>
    <w:tmpl w:val="5240DE6E"/>
    <w:lvl w:ilvl="0" w:tplc="041D0017">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617529"/>
    <w:multiLevelType w:val="hybridMultilevel"/>
    <w:tmpl w:val="D9A8A740"/>
    <w:lvl w:ilvl="0" w:tplc="1304FA12">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B2169B"/>
    <w:multiLevelType w:val="hybridMultilevel"/>
    <w:tmpl w:val="FB52FBC2"/>
    <w:lvl w:ilvl="0" w:tplc="1304FA12">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0C6F9E"/>
    <w:multiLevelType w:val="hybridMultilevel"/>
    <w:tmpl w:val="9EBAD87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9A5CF0"/>
    <w:multiLevelType w:val="hybridMultilevel"/>
    <w:tmpl w:val="3C24BD5E"/>
    <w:lvl w:ilvl="0" w:tplc="041D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92933"/>
    <w:multiLevelType w:val="hybridMultilevel"/>
    <w:tmpl w:val="79D08CAE"/>
    <w:lvl w:ilvl="0" w:tplc="1304FA12">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6B16C4"/>
    <w:multiLevelType w:val="hybridMultilevel"/>
    <w:tmpl w:val="0554D6EE"/>
    <w:lvl w:ilvl="0" w:tplc="E3F2468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F31901"/>
    <w:multiLevelType w:val="hybridMultilevel"/>
    <w:tmpl w:val="F59879E4"/>
    <w:lvl w:ilvl="0" w:tplc="1304FA12">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502000"/>
    <w:multiLevelType w:val="hybridMultilevel"/>
    <w:tmpl w:val="BB22A018"/>
    <w:lvl w:ilvl="0" w:tplc="041D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A2423D"/>
    <w:multiLevelType w:val="hybridMultilevel"/>
    <w:tmpl w:val="CF40774A"/>
    <w:lvl w:ilvl="0" w:tplc="909C394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16"/>
  </w:num>
  <w:num w:numId="3">
    <w:abstractNumId w:val="2"/>
  </w:num>
  <w:num w:numId="4">
    <w:abstractNumId w:val="20"/>
  </w:num>
  <w:num w:numId="5">
    <w:abstractNumId w:val="21"/>
  </w:num>
  <w:num w:numId="6">
    <w:abstractNumId w:val="23"/>
  </w:num>
  <w:num w:numId="7">
    <w:abstractNumId w:val="11"/>
  </w:num>
  <w:num w:numId="8">
    <w:abstractNumId w:val="12"/>
  </w:num>
  <w:num w:numId="9">
    <w:abstractNumId w:val="7"/>
  </w:num>
  <w:num w:numId="10">
    <w:abstractNumId w:val="27"/>
  </w:num>
  <w:num w:numId="11">
    <w:abstractNumId w:val="15"/>
  </w:num>
  <w:num w:numId="12">
    <w:abstractNumId w:val="25"/>
  </w:num>
  <w:num w:numId="13">
    <w:abstractNumId w:val="26"/>
  </w:num>
  <w:num w:numId="14">
    <w:abstractNumId w:val="1"/>
  </w:num>
  <w:num w:numId="15">
    <w:abstractNumId w:val="0"/>
  </w:num>
  <w:num w:numId="16">
    <w:abstractNumId w:val="3"/>
  </w:num>
  <w:num w:numId="17">
    <w:abstractNumId w:val="17"/>
  </w:num>
  <w:num w:numId="18">
    <w:abstractNumId w:val="8"/>
  </w:num>
  <w:num w:numId="19">
    <w:abstractNumId w:val="5"/>
  </w:num>
  <w:num w:numId="20">
    <w:abstractNumId w:val="6"/>
  </w:num>
  <w:num w:numId="21">
    <w:abstractNumId w:val="10"/>
  </w:num>
  <w:num w:numId="22">
    <w:abstractNumId w:val="26"/>
  </w:num>
  <w:num w:numId="23">
    <w:abstractNumId w:val="26"/>
  </w:num>
  <w:num w:numId="24">
    <w:abstractNumId w:val="4"/>
  </w:num>
  <w:num w:numId="25">
    <w:abstractNumId w:val="14"/>
  </w:num>
  <w:num w:numId="26">
    <w:abstractNumId w:val="19"/>
  </w:num>
  <w:num w:numId="27">
    <w:abstractNumId w:val="13"/>
  </w:num>
  <w:num w:numId="28">
    <w:abstractNumId w:val="24"/>
  </w:num>
  <w:num w:numId="29">
    <w:abstractNumId w:val="9"/>
  </w:num>
  <w:num w:numId="3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026"/>
    <w:rsid w:val="000023B8"/>
    <w:rsid w:val="00002A37"/>
    <w:rsid w:val="0000564C"/>
    <w:rsid w:val="0000609F"/>
    <w:rsid w:val="00006446"/>
    <w:rsid w:val="00006896"/>
    <w:rsid w:val="00007CDC"/>
    <w:rsid w:val="00011B28"/>
    <w:rsid w:val="0001373B"/>
    <w:rsid w:val="00015D15"/>
    <w:rsid w:val="00016285"/>
    <w:rsid w:val="000166AF"/>
    <w:rsid w:val="000170F0"/>
    <w:rsid w:val="00017479"/>
    <w:rsid w:val="00020C9E"/>
    <w:rsid w:val="000217F0"/>
    <w:rsid w:val="00024C6A"/>
    <w:rsid w:val="00024D4D"/>
    <w:rsid w:val="00024D61"/>
    <w:rsid w:val="00024E72"/>
    <w:rsid w:val="0002564D"/>
    <w:rsid w:val="00025ECA"/>
    <w:rsid w:val="000274CE"/>
    <w:rsid w:val="000275A4"/>
    <w:rsid w:val="0003153F"/>
    <w:rsid w:val="000325B8"/>
    <w:rsid w:val="0003357D"/>
    <w:rsid w:val="00034C15"/>
    <w:rsid w:val="00036225"/>
    <w:rsid w:val="00036BA1"/>
    <w:rsid w:val="00036F4B"/>
    <w:rsid w:val="0004001C"/>
    <w:rsid w:val="00040CCE"/>
    <w:rsid w:val="000422E2"/>
    <w:rsid w:val="00042F22"/>
    <w:rsid w:val="000444EF"/>
    <w:rsid w:val="00047EF6"/>
    <w:rsid w:val="00050A03"/>
    <w:rsid w:val="000525ED"/>
    <w:rsid w:val="000529BB"/>
    <w:rsid w:val="00052A07"/>
    <w:rsid w:val="000534E3"/>
    <w:rsid w:val="0005606A"/>
    <w:rsid w:val="00056C3E"/>
    <w:rsid w:val="00057117"/>
    <w:rsid w:val="000616E7"/>
    <w:rsid w:val="000623C0"/>
    <w:rsid w:val="000626DC"/>
    <w:rsid w:val="000636C5"/>
    <w:rsid w:val="00063AB9"/>
    <w:rsid w:val="00063C88"/>
    <w:rsid w:val="0006487E"/>
    <w:rsid w:val="00065E1A"/>
    <w:rsid w:val="0006791E"/>
    <w:rsid w:val="00077E5F"/>
    <w:rsid w:val="0008036A"/>
    <w:rsid w:val="00081330"/>
    <w:rsid w:val="00081AE6"/>
    <w:rsid w:val="00081EE5"/>
    <w:rsid w:val="00083422"/>
    <w:rsid w:val="000855EB"/>
    <w:rsid w:val="000859EA"/>
    <w:rsid w:val="00085B52"/>
    <w:rsid w:val="000866F2"/>
    <w:rsid w:val="00086BDD"/>
    <w:rsid w:val="000878EC"/>
    <w:rsid w:val="0009009F"/>
    <w:rsid w:val="00090C37"/>
    <w:rsid w:val="0009103B"/>
    <w:rsid w:val="00091488"/>
    <w:rsid w:val="00091557"/>
    <w:rsid w:val="0009183C"/>
    <w:rsid w:val="00091A0B"/>
    <w:rsid w:val="000924C1"/>
    <w:rsid w:val="000924F0"/>
    <w:rsid w:val="00093474"/>
    <w:rsid w:val="00094E09"/>
    <w:rsid w:val="0009510F"/>
    <w:rsid w:val="000A1526"/>
    <w:rsid w:val="000A1B7B"/>
    <w:rsid w:val="000A1F7F"/>
    <w:rsid w:val="000A3F11"/>
    <w:rsid w:val="000A559C"/>
    <w:rsid w:val="000A56F2"/>
    <w:rsid w:val="000B2719"/>
    <w:rsid w:val="000B3A8F"/>
    <w:rsid w:val="000B4063"/>
    <w:rsid w:val="000B479A"/>
    <w:rsid w:val="000B4AB9"/>
    <w:rsid w:val="000B58C3"/>
    <w:rsid w:val="000B601F"/>
    <w:rsid w:val="000B61E9"/>
    <w:rsid w:val="000B66AF"/>
    <w:rsid w:val="000B6D65"/>
    <w:rsid w:val="000B71A9"/>
    <w:rsid w:val="000C0608"/>
    <w:rsid w:val="000C165A"/>
    <w:rsid w:val="000C2946"/>
    <w:rsid w:val="000C2E19"/>
    <w:rsid w:val="000C4D0C"/>
    <w:rsid w:val="000C6BBC"/>
    <w:rsid w:val="000D008A"/>
    <w:rsid w:val="000D0D07"/>
    <w:rsid w:val="000D2CEB"/>
    <w:rsid w:val="000D431C"/>
    <w:rsid w:val="000D4797"/>
    <w:rsid w:val="000D5A63"/>
    <w:rsid w:val="000E0527"/>
    <w:rsid w:val="000E1E92"/>
    <w:rsid w:val="000E20B6"/>
    <w:rsid w:val="000E22B9"/>
    <w:rsid w:val="000E5152"/>
    <w:rsid w:val="000E5F45"/>
    <w:rsid w:val="000E794D"/>
    <w:rsid w:val="000F06D6"/>
    <w:rsid w:val="000F0AB9"/>
    <w:rsid w:val="000F0EB1"/>
    <w:rsid w:val="000F0FE0"/>
    <w:rsid w:val="000F1106"/>
    <w:rsid w:val="000F1A8E"/>
    <w:rsid w:val="000F2894"/>
    <w:rsid w:val="000F2D09"/>
    <w:rsid w:val="000F3705"/>
    <w:rsid w:val="000F3BE9"/>
    <w:rsid w:val="000F3F6C"/>
    <w:rsid w:val="000F47C3"/>
    <w:rsid w:val="000F6111"/>
    <w:rsid w:val="000F6DF3"/>
    <w:rsid w:val="001005FF"/>
    <w:rsid w:val="00100CF6"/>
    <w:rsid w:val="00102AB0"/>
    <w:rsid w:val="00103F29"/>
    <w:rsid w:val="00104032"/>
    <w:rsid w:val="00104E8A"/>
    <w:rsid w:val="001061B0"/>
    <w:rsid w:val="001062FB"/>
    <w:rsid w:val="001063E6"/>
    <w:rsid w:val="00107A6B"/>
    <w:rsid w:val="00107F35"/>
    <w:rsid w:val="00110F59"/>
    <w:rsid w:val="00111864"/>
    <w:rsid w:val="0011199B"/>
    <w:rsid w:val="00111B19"/>
    <w:rsid w:val="00111C23"/>
    <w:rsid w:val="001122A4"/>
    <w:rsid w:val="001123E9"/>
    <w:rsid w:val="00112A0A"/>
    <w:rsid w:val="00113426"/>
    <w:rsid w:val="00113CF4"/>
    <w:rsid w:val="00114D27"/>
    <w:rsid w:val="001153EA"/>
    <w:rsid w:val="00115643"/>
    <w:rsid w:val="00115C03"/>
    <w:rsid w:val="00116765"/>
    <w:rsid w:val="001213BB"/>
    <w:rsid w:val="001219F5"/>
    <w:rsid w:val="00121A20"/>
    <w:rsid w:val="00122AC2"/>
    <w:rsid w:val="0012377F"/>
    <w:rsid w:val="00124314"/>
    <w:rsid w:val="00125783"/>
    <w:rsid w:val="00125910"/>
    <w:rsid w:val="00126B4A"/>
    <w:rsid w:val="0013026F"/>
    <w:rsid w:val="0013240B"/>
    <w:rsid w:val="00132F13"/>
    <w:rsid w:val="00132FD0"/>
    <w:rsid w:val="001344C0"/>
    <w:rsid w:val="001346FA"/>
    <w:rsid w:val="00134E32"/>
    <w:rsid w:val="00135252"/>
    <w:rsid w:val="001353D2"/>
    <w:rsid w:val="001360C1"/>
    <w:rsid w:val="00136968"/>
    <w:rsid w:val="00136D9D"/>
    <w:rsid w:val="00136F8E"/>
    <w:rsid w:val="00137AB5"/>
    <w:rsid w:val="00137F0B"/>
    <w:rsid w:val="00142917"/>
    <w:rsid w:val="00143088"/>
    <w:rsid w:val="00144F60"/>
    <w:rsid w:val="00145802"/>
    <w:rsid w:val="001464B7"/>
    <w:rsid w:val="00146D15"/>
    <w:rsid w:val="0015137B"/>
    <w:rsid w:val="00151728"/>
    <w:rsid w:val="00151B08"/>
    <w:rsid w:val="00151C07"/>
    <w:rsid w:val="00151E23"/>
    <w:rsid w:val="001526E0"/>
    <w:rsid w:val="00152737"/>
    <w:rsid w:val="001551B5"/>
    <w:rsid w:val="00156387"/>
    <w:rsid w:val="00160D9C"/>
    <w:rsid w:val="00161012"/>
    <w:rsid w:val="001612FE"/>
    <w:rsid w:val="0016143B"/>
    <w:rsid w:val="001622DE"/>
    <w:rsid w:val="00162A24"/>
    <w:rsid w:val="00164B15"/>
    <w:rsid w:val="001659C1"/>
    <w:rsid w:val="001661FA"/>
    <w:rsid w:val="00167993"/>
    <w:rsid w:val="001702BB"/>
    <w:rsid w:val="00170C1A"/>
    <w:rsid w:val="00170CD5"/>
    <w:rsid w:val="00170EC9"/>
    <w:rsid w:val="00172540"/>
    <w:rsid w:val="00173A8E"/>
    <w:rsid w:val="0017502C"/>
    <w:rsid w:val="00175916"/>
    <w:rsid w:val="001761D7"/>
    <w:rsid w:val="0018011E"/>
    <w:rsid w:val="001807AB"/>
    <w:rsid w:val="0018143F"/>
    <w:rsid w:val="00181FF8"/>
    <w:rsid w:val="00183B9C"/>
    <w:rsid w:val="0018473A"/>
    <w:rsid w:val="001857D2"/>
    <w:rsid w:val="0018610D"/>
    <w:rsid w:val="00186726"/>
    <w:rsid w:val="001907DE"/>
    <w:rsid w:val="00190A44"/>
    <w:rsid w:val="00190AC1"/>
    <w:rsid w:val="001923A3"/>
    <w:rsid w:val="0019341A"/>
    <w:rsid w:val="00193490"/>
    <w:rsid w:val="00194662"/>
    <w:rsid w:val="00195A0D"/>
    <w:rsid w:val="00196749"/>
    <w:rsid w:val="00197604"/>
    <w:rsid w:val="00197DF9"/>
    <w:rsid w:val="001A01CE"/>
    <w:rsid w:val="001A1987"/>
    <w:rsid w:val="001A1F3D"/>
    <w:rsid w:val="001A2564"/>
    <w:rsid w:val="001A3CC8"/>
    <w:rsid w:val="001A6173"/>
    <w:rsid w:val="001A6CBA"/>
    <w:rsid w:val="001B0BB0"/>
    <w:rsid w:val="001B0D97"/>
    <w:rsid w:val="001B5472"/>
    <w:rsid w:val="001B5672"/>
    <w:rsid w:val="001B5A5D"/>
    <w:rsid w:val="001B6DF2"/>
    <w:rsid w:val="001B6EE2"/>
    <w:rsid w:val="001C0368"/>
    <w:rsid w:val="001C1CE5"/>
    <w:rsid w:val="001C33BE"/>
    <w:rsid w:val="001C3D2A"/>
    <w:rsid w:val="001D0BB2"/>
    <w:rsid w:val="001D1818"/>
    <w:rsid w:val="001D2DC6"/>
    <w:rsid w:val="001D4589"/>
    <w:rsid w:val="001D467D"/>
    <w:rsid w:val="001D51BA"/>
    <w:rsid w:val="001D53E7"/>
    <w:rsid w:val="001D6342"/>
    <w:rsid w:val="001D6352"/>
    <w:rsid w:val="001D6D53"/>
    <w:rsid w:val="001E1F2D"/>
    <w:rsid w:val="001E507E"/>
    <w:rsid w:val="001E58E2"/>
    <w:rsid w:val="001E7AED"/>
    <w:rsid w:val="001F055B"/>
    <w:rsid w:val="001F0870"/>
    <w:rsid w:val="001F3916"/>
    <w:rsid w:val="001F3C1F"/>
    <w:rsid w:val="001F53C0"/>
    <w:rsid w:val="001F54C5"/>
    <w:rsid w:val="001F662C"/>
    <w:rsid w:val="001F7074"/>
    <w:rsid w:val="001F7818"/>
    <w:rsid w:val="00200178"/>
    <w:rsid w:val="00200490"/>
    <w:rsid w:val="00201F3A"/>
    <w:rsid w:val="00203D20"/>
    <w:rsid w:val="00203F96"/>
    <w:rsid w:val="00204E18"/>
    <w:rsid w:val="00204F2D"/>
    <w:rsid w:val="002069B2"/>
    <w:rsid w:val="00206E77"/>
    <w:rsid w:val="00207FA3"/>
    <w:rsid w:val="00214DA8"/>
    <w:rsid w:val="00215423"/>
    <w:rsid w:val="002158FA"/>
    <w:rsid w:val="00217F42"/>
    <w:rsid w:val="00220210"/>
    <w:rsid w:val="00220600"/>
    <w:rsid w:val="00222470"/>
    <w:rsid w:val="002224DB"/>
    <w:rsid w:val="00223FCB"/>
    <w:rsid w:val="00223FE3"/>
    <w:rsid w:val="00224F87"/>
    <w:rsid w:val="002252C3"/>
    <w:rsid w:val="00225C54"/>
    <w:rsid w:val="002271C9"/>
    <w:rsid w:val="00230055"/>
    <w:rsid w:val="00230765"/>
    <w:rsid w:val="00230D18"/>
    <w:rsid w:val="002319E4"/>
    <w:rsid w:val="00233870"/>
    <w:rsid w:val="00235632"/>
    <w:rsid w:val="00235872"/>
    <w:rsid w:val="002366AC"/>
    <w:rsid w:val="0023750E"/>
    <w:rsid w:val="00241559"/>
    <w:rsid w:val="00242777"/>
    <w:rsid w:val="00242E8C"/>
    <w:rsid w:val="002435B3"/>
    <w:rsid w:val="002440A8"/>
    <w:rsid w:val="002457F1"/>
    <w:rsid w:val="002458EB"/>
    <w:rsid w:val="002500C8"/>
    <w:rsid w:val="002501E9"/>
    <w:rsid w:val="00250246"/>
    <w:rsid w:val="0025295F"/>
    <w:rsid w:val="0025320D"/>
    <w:rsid w:val="00253686"/>
    <w:rsid w:val="00256335"/>
    <w:rsid w:val="0025688A"/>
    <w:rsid w:val="002570A8"/>
    <w:rsid w:val="00257543"/>
    <w:rsid w:val="00260849"/>
    <w:rsid w:val="00261671"/>
    <w:rsid w:val="002617E7"/>
    <w:rsid w:val="00262B9D"/>
    <w:rsid w:val="00264228"/>
    <w:rsid w:val="00264334"/>
    <w:rsid w:val="002646E5"/>
    <w:rsid w:val="0026473E"/>
    <w:rsid w:val="00266214"/>
    <w:rsid w:val="002672CB"/>
    <w:rsid w:val="002679ED"/>
    <w:rsid w:val="00267C83"/>
    <w:rsid w:val="00270C0C"/>
    <w:rsid w:val="0027144F"/>
    <w:rsid w:val="00271813"/>
    <w:rsid w:val="00271F3A"/>
    <w:rsid w:val="002723FB"/>
    <w:rsid w:val="00273278"/>
    <w:rsid w:val="002737F4"/>
    <w:rsid w:val="00275EFB"/>
    <w:rsid w:val="002805F5"/>
    <w:rsid w:val="00280751"/>
    <w:rsid w:val="00280CC7"/>
    <w:rsid w:val="00281592"/>
    <w:rsid w:val="0028280A"/>
    <w:rsid w:val="002830A6"/>
    <w:rsid w:val="002837E7"/>
    <w:rsid w:val="00284582"/>
    <w:rsid w:val="0028513F"/>
    <w:rsid w:val="00285439"/>
    <w:rsid w:val="00286964"/>
    <w:rsid w:val="00286ACD"/>
    <w:rsid w:val="00287838"/>
    <w:rsid w:val="002907B5"/>
    <w:rsid w:val="00290AF4"/>
    <w:rsid w:val="00292EB7"/>
    <w:rsid w:val="00294F0C"/>
    <w:rsid w:val="00296227"/>
    <w:rsid w:val="00296F44"/>
    <w:rsid w:val="0029777D"/>
    <w:rsid w:val="002A055E"/>
    <w:rsid w:val="002A0D0B"/>
    <w:rsid w:val="002A1D4E"/>
    <w:rsid w:val="002A2869"/>
    <w:rsid w:val="002A3531"/>
    <w:rsid w:val="002A3E0D"/>
    <w:rsid w:val="002B0652"/>
    <w:rsid w:val="002B0821"/>
    <w:rsid w:val="002B0E96"/>
    <w:rsid w:val="002B23C0"/>
    <w:rsid w:val="002B24D6"/>
    <w:rsid w:val="002B3D69"/>
    <w:rsid w:val="002B71CC"/>
    <w:rsid w:val="002B77DD"/>
    <w:rsid w:val="002C3B35"/>
    <w:rsid w:val="002C41E6"/>
    <w:rsid w:val="002D0401"/>
    <w:rsid w:val="002D071A"/>
    <w:rsid w:val="002D091E"/>
    <w:rsid w:val="002D15C1"/>
    <w:rsid w:val="002D34B2"/>
    <w:rsid w:val="002D43F6"/>
    <w:rsid w:val="002D48B0"/>
    <w:rsid w:val="002D5B37"/>
    <w:rsid w:val="002D7637"/>
    <w:rsid w:val="002E17F2"/>
    <w:rsid w:val="002E5123"/>
    <w:rsid w:val="002E5642"/>
    <w:rsid w:val="002E56F6"/>
    <w:rsid w:val="002E6F21"/>
    <w:rsid w:val="002E7065"/>
    <w:rsid w:val="002E7CAE"/>
    <w:rsid w:val="002F1375"/>
    <w:rsid w:val="002F2771"/>
    <w:rsid w:val="002F37A9"/>
    <w:rsid w:val="002F58E5"/>
    <w:rsid w:val="00300AA2"/>
    <w:rsid w:val="00301CE6"/>
    <w:rsid w:val="0030256B"/>
    <w:rsid w:val="0030398D"/>
    <w:rsid w:val="003041F5"/>
    <w:rsid w:val="0030501F"/>
    <w:rsid w:val="00306C00"/>
    <w:rsid w:val="00307361"/>
    <w:rsid w:val="00307BA1"/>
    <w:rsid w:val="003109F6"/>
    <w:rsid w:val="00310CBC"/>
    <w:rsid w:val="00311702"/>
    <w:rsid w:val="00311E82"/>
    <w:rsid w:val="003137E7"/>
    <w:rsid w:val="00313FD6"/>
    <w:rsid w:val="003143BD"/>
    <w:rsid w:val="00314B64"/>
    <w:rsid w:val="0031501E"/>
    <w:rsid w:val="00315363"/>
    <w:rsid w:val="003167E0"/>
    <w:rsid w:val="003169C6"/>
    <w:rsid w:val="003203ED"/>
    <w:rsid w:val="00322262"/>
    <w:rsid w:val="00322C9F"/>
    <w:rsid w:val="00323077"/>
    <w:rsid w:val="00323E31"/>
    <w:rsid w:val="00324D23"/>
    <w:rsid w:val="00324E5C"/>
    <w:rsid w:val="00326050"/>
    <w:rsid w:val="00327D28"/>
    <w:rsid w:val="0033108B"/>
    <w:rsid w:val="00331751"/>
    <w:rsid w:val="00333B33"/>
    <w:rsid w:val="00334579"/>
    <w:rsid w:val="00335513"/>
    <w:rsid w:val="00335858"/>
    <w:rsid w:val="003365FA"/>
    <w:rsid w:val="00336620"/>
    <w:rsid w:val="00336BDA"/>
    <w:rsid w:val="0033774C"/>
    <w:rsid w:val="0034158C"/>
    <w:rsid w:val="00342BD7"/>
    <w:rsid w:val="00343F46"/>
    <w:rsid w:val="0034421E"/>
    <w:rsid w:val="0034565E"/>
    <w:rsid w:val="0034601D"/>
    <w:rsid w:val="00346DB5"/>
    <w:rsid w:val="003477B1"/>
    <w:rsid w:val="0035310E"/>
    <w:rsid w:val="00353CDA"/>
    <w:rsid w:val="00354BBC"/>
    <w:rsid w:val="00356E34"/>
    <w:rsid w:val="00357039"/>
    <w:rsid w:val="00357380"/>
    <w:rsid w:val="003602D9"/>
    <w:rsid w:val="003604CE"/>
    <w:rsid w:val="0036299B"/>
    <w:rsid w:val="0036474B"/>
    <w:rsid w:val="00365775"/>
    <w:rsid w:val="0036737E"/>
    <w:rsid w:val="00367431"/>
    <w:rsid w:val="0037067A"/>
    <w:rsid w:val="00370E47"/>
    <w:rsid w:val="00371500"/>
    <w:rsid w:val="00371514"/>
    <w:rsid w:val="003716B1"/>
    <w:rsid w:val="00371B4E"/>
    <w:rsid w:val="00372853"/>
    <w:rsid w:val="003742AC"/>
    <w:rsid w:val="00374EF7"/>
    <w:rsid w:val="0037539F"/>
    <w:rsid w:val="00376D63"/>
    <w:rsid w:val="00377701"/>
    <w:rsid w:val="00377CE1"/>
    <w:rsid w:val="00380D25"/>
    <w:rsid w:val="00382023"/>
    <w:rsid w:val="0038376A"/>
    <w:rsid w:val="00384F47"/>
    <w:rsid w:val="00385B3C"/>
    <w:rsid w:val="00385BF0"/>
    <w:rsid w:val="00385DB4"/>
    <w:rsid w:val="00387909"/>
    <w:rsid w:val="00391125"/>
    <w:rsid w:val="003918A6"/>
    <w:rsid w:val="00392BE3"/>
    <w:rsid w:val="003939FF"/>
    <w:rsid w:val="00393C99"/>
    <w:rsid w:val="00396744"/>
    <w:rsid w:val="00397345"/>
    <w:rsid w:val="003A0A1A"/>
    <w:rsid w:val="003A1A76"/>
    <w:rsid w:val="003A1BDA"/>
    <w:rsid w:val="003A21DA"/>
    <w:rsid w:val="003A2223"/>
    <w:rsid w:val="003A2A0F"/>
    <w:rsid w:val="003A3FCB"/>
    <w:rsid w:val="003A45A1"/>
    <w:rsid w:val="003A4E71"/>
    <w:rsid w:val="003A561A"/>
    <w:rsid w:val="003A5B0A"/>
    <w:rsid w:val="003A6BAC"/>
    <w:rsid w:val="003A6C88"/>
    <w:rsid w:val="003A70A4"/>
    <w:rsid w:val="003A7EF3"/>
    <w:rsid w:val="003B0513"/>
    <w:rsid w:val="003B0623"/>
    <w:rsid w:val="003B159C"/>
    <w:rsid w:val="003B1AD4"/>
    <w:rsid w:val="003B1FDE"/>
    <w:rsid w:val="003B252E"/>
    <w:rsid w:val="003B30CC"/>
    <w:rsid w:val="003B369F"/>
    <w:rsid w:val="003B36A3"/>
    <w:rsid w:val="003B52DC"/>
    <w:rsid w:val="003B64BB"/>
    <w:rsid w:val="003B7933"/>
    <w:rsid w:val="003B7C46"/>
    <w:rsid w:val="003B7F70"/>
    <w:rsid w:val="003B7FE5"/>
    <w:rsid w:val="003C0777"/>
    <w:rsid w:val="003C11C8"/>
    <w:rsid w:val="003C1F41"/>
    <w:rsid w:val="003C2702"/>
    <w:rsid w:val="003C5F4C"/>
    <w:rsid w:val="003C7806"/>
    <w:rsid w:val="003D0FAA"/>
    <w:rsid w:val="003D109F"/>
    <w:rsid w:val="003D1736"/>
    <w:rsid w:val="003D2478"/>
    <w:rsid w:val="003D2A9A"/>
    <w:rsid w:val="003D3C45"/>
    <w:rsid w:val="003D5B1F"/>
    <w:rsid w:val="003D7A9E"/>
    <w:rsid w:val="003D7EFF"/>
    <w:rsid w:val="003E15FA"/>
    <w:rsid w:val="003E1DB2"/>
    <w:rsid w:val="003E3BEE"/>
    <w:rsid w:val="003E424D"/>
    <w:rsid w:val="003E454B"/>
    <w:rsid w:val="003E55E4"/>
    <w:rsid w:val="003E5A59"/>
    <w:rsid w:val="003E6D21"/>
    <w:rsid w:val="003E74E3"/>
    <w:rsid w:val="003F05C7"/>
    <w:rsid w:val="003F102B"/>
    <w:rsid w:val="003F1EBA"/>
    <w:rsid w:val="003F24E4"/>
    <w:rsid w:val="003F2CD4"/>
    <w:rsid w:val="003F59F3"/>
    <w:rsid w:val="003F6BBE"/>
    <w:rsid w:val="003F6F2F"/>
    <w:rsid w:val="003F7D42"/>
    <w:rsid w:val="004000E8"/>
    <w:rsid w:val="00401AD9"/>
    <w:rsid w:val="004020B8"/>
    <w:rsid w:val="00402E2B"/>
    <w:rsid w:val="00403876"/>
    <w:rsid w:val="00404EA8"/>
    <w:rsid w:val="0040512B"/>
    <w:rsid w:val="00405CA5"/>
    <w:rsid w:val="004066CA"/>
    <w:rsid w:val="00407CD3"/>
    <w:rsid w:val="00410134"/>
    <w:rsid w:val="00410B72"/>
    <w:rsid w:val="00410F18"/>
    <w:rsid w:val="00411753"/>
    <w:rsid w:val="0041263E"/>
    <w:rsid w:val="00413014"/>
    <w:rsid w:val="00413AAC"/>
    <w:rsid w:val="00413E92"/>
    <w:rsid w:val="00414357"/>
    <w:rsid w:val="00417CC3"/>
    <w:rsid w:val="004201E8"/>
    <w:rsid w:val="00421105"/>
    <w:rsid w:val="00421C87"/>
    <w:rsid w:val="004226B2"/>
    <w:rsid w:val="00422AA4"/>
    <w:rsid w:val="00423BA7"/>
    <w:rsid w:val="004242F4"/>
    <w:rsid w:val="004266D0"/>
    <w:rsid w:val="004266D1"/>
    <w:rsid w:val="00426D07"/>
    <w:rsid w:val="00427248"/>
    <w:rsid w:val="00430309"/>
    <w:rsid w:val="00430DFB"/>
    <w:rsid w:val="00433E10"/>
    <w:rsid w:val="00435672"/>
    <w:rsid w:val="004364DF"/>
    <w:rsid w:val="00437447"/>
    <w:rsid w:val="00441A92"/>
    <w:rsid w:val="004431DC"/>
    <w:rsid w:val="0044382C"/>
    <w:rsid w:val="00443B36"/>
    <w:rsid w:val="0044473A"/>
    <w:rsid w:val="00444F56"/>
    <w:rsid w:val="00444F7B"/>
    <w:rsid w:val="00446488"/>
    <w:rsid w:val="00447AFE"/>
    <w:rsid w:val="004517A8"/>
    <w:rsid w:val="004517AA"/>
    <w:rsid w:val="00452CAC"/>
    <w:rsid w:val="00455A89"/>
    <w:rsid w:val="004568E0"/>
    <w:rsid w:val="00457565"/>
    <w:rsid w:val="00457B71"/>
    <w:rsid w:val="00460337"/>
    <w:rsid w:val="00462B1E"/>
    <w:rsid w:val="00462F8D"/>
    <w:rsid w:val="004639E2"/>
    <w:rsid w:val="0046419D"/>
    <w:rsid w:val="004643FE"/>
    <w:rsid w:val="004669E2"/>
    <w:rsid w:val="004700CB"/>
    <w:rsid w:val="00470346"/>
    <w:rsid w:val="00470712"/>
    <w:rsid w:val="00470C31"/>
    <w:rsid w:val="00471DE0"/>
    <w:rsid w:val="004734D0"/>
    <w:rsid w:val="0047556B"/>
    <w:rsid w:val="004769EB"/>
    <w:rsid w:val="00476F2B"/>
    <w:rsid w:val="00477768"/>
    <w:rsid w:val="0048007D"/>
    <w:rsid w:val="00481515"/>
    <w:rsid w:val="00481CB6"/>
    <w:rsid w:val="00482B11"/>
    <w:rsid w:val="00482BBC"/>
    <w:rsid w:val="00482E4B"/>
    <w:rsid w:val="0048348A"/>
    <w:rsid w:val="00485238"/>
    <w:rsid w:val="004865BF"/>
    <w:rsid w:val="0049094A"/>
    <w:rsid w:val="0049100B"/>
    <w:rsid w:val="00492090"/>
    <w:rsid w:val="00492BC5"/>
    <w:rsid w:val="00494EF7"/>
    <w:rsid w:val="00495EF3"/>
    <w:rsid w:val="00496265"/>
    <w:rsid w:val="004964F1"/>
    <w:rsid w:val="00497422"/>
    <w:rsid w:val="004A13A6"/>
    <w:rsid w:val="004A16BC"/>
    <w:rsid w:val="004A2B94"/>
    <w:rsid w:val="004A664E"/>
    <w:rsid w:val="004A78EB"/>
    <w:rsid w:val="004B1E84"/>
    <w:rsid w:val="004B5E31"/>
    <w:rsid w:val="004B6823"/>
    <w:rsid w:val="004B6F6A"/>
    <w:rsid w:val="004B6F73"/>
    <w:rsid w:val="004B7C0C"/>
    <w:rsid w:val="004C0972"/>
    <w:rsid w:val="004C0994"/>
    <w:rsid w:val="004C3136"/>
    <w:rsid w:val="004C3898"/>
    <w:rsid w:val="004C39DB"/>
    <w:rsid w:val="004C43EB"/>
    <w:rsid w:val="004C4C24"/>
    <w:rsid w:val="004C61FB"/>
    <w:rsid w:val="004C6927"/>
    <w:rsid w:val="004C72D8"/>
    <w:rsid w:val="004D3048"/>
    <w:rsid w:val="004D36B1"/>
    <w:rsid w:val="004D4258"/>
    <w:rsid w:val="004D4764"/>
    <w:rsid w:val="004D6AB7"/>
    <w:rsid w:val="004D7EBD"/>
    <w:rsid w:val="004E18B5"/>
    <w:rsid w:val="004E2680"/>
    <w:rsid w:val="004E28F9"/>
    <w:rsid w:val="004E29DA"/>
    <w:rsid w:val="004E3A7D"/>
    <w:rsid w:val="004E4294"/>
    <w:rsid w:val="004E462E"/>
    <w:rsid w:val="004E56DC"/>
    <w:rsid w:val="004E5992"/>
    <w:rsid w:val="004E7585"/>
    <w:rsid w:val="004E76F4"/>
    <w:rsid w:val="004E7DAF"/>
    <w:rsid w:val="004F02FD"/>
    <w:rsid w:val="004F0B4E"/>
    <w:rsid w:val="004F0B6C"/>
    <w:rsid w:val="004F2078"/>
    <w:rsid w:val="004F2D1F"/>
    <w:rsid w:val="004F362D"/>
    <w:rsid w:val="004F4DA3"/>
    <w:rsid w:val="004F5B42"/>
    <w:rsid w:val="004F7984"/>
    <w:rsid w:val="004F79AF"/>
    <w:rsid w:val="00501644"/>
    <w:rsid w:val="00504720"/>
    <w:rsid w:val="00504E22"/>
    <w:rsid w:val="005063E3"/>
    <w:rsid w:val="00506557"/>
    <w:rsid w:val="0050677A"/>
    <w:rsid w:val="0050750F"/>
    <w:rsid w:val="005108D8"/>
    <w:rsid w:val="005116F9"/>
    <w:rsid w:val="005153A7"/>
    <w:rsid w:val="00516F9F"/>
    <w:rsid w:val="0052063A"/>
    <w:rsid w:val="0052085F"/>
    <w:rsid w:val="00520D80"/>
    <w:rsid w:val="005215AF"/>
    <w:rsid w:val="005219CF"/>
    <w:rsid w:val="005220D9"/>
    <w:rsid w:val="005223E5"/>
    <w:rsid w:val="00523744"/>
    <w:rsid w:val="0052517E"/>
    <w:rsid w:val="00525238"/>
    <w:rsid w:val="00526672"/>
    <w:rsid w:val="00526EC8"/>
    <w:rsid w:val="005273CA"/>
    <w:rsid w:val="00532DBC"/>
    <w:rsid w:val="0053444D"/>
    <w:rsid w:val="00534B59"/>
    <w:rsid w:val="00534D96"/>
    <w:rsid w:val="00536759"/>
    <w:rsid w:val="00537C62"/>
    <w:rsid w:val="00540294"/>
    <w:rsid w:val="005405DC"/>
    <w:rsid w:val="0054093B"/>
    <w:rsid w:val="00540DD8"/>
    <w:rsid w:val="00540EF4"/>
    <w:rsid w:val="0054161B"/>
    <w:rsid w:val="00543171"/>
    <w:rsid w:val="00546970"/>
    <w:rsid w:val="005470C8"/>
    <w:rsid w:val="005472AC"/>
    <w:rsid w:val="00547E4A"/>
    <w:rsid w:val="0055161F"/>
    <w:rsid w:val="00554C93"/>
    <w:rsid w:val="00554E19"/>
    <w:rsid w:val="0055678E"/>
    <w:rsid w:val="00560786"/>
    <w:rsid w:val="0056121F"/>
    <w:rsid w:val="00561785"/>
    <w:rsid w:val="0056574E"/>
    <w:rsid w:val="005664DD"/>
    <w:rsid w:val="0057085C"/>
    <w:rsid w:val="00570E28"/>
    <w:rsid w:val="00571A93"/>
    <w:rsid w:val="005724BF"/>
    <w:rsid w:val="00572505"/>
    <w:rsid w:val="00572587"/>
    <w:rsid w:val="005725DC"/>
    <w:rsid w:val="0057266C"/>
    <w:rsid w:val="00572A80"/>
    <w:rsid w:val="0057391A"/>
    <w:rsid w:val="00573B91"/>
    <w:rsid w:val="005741E5"/>
    <w:rsid w:val="0057704B"/>
    <w:rsid w:val="00577E76"/>
    <w:rsid w:val="00581572"/>
    <w:rsid w:val="00582809"/>
    <w:rsid w:val="00582CC3"/>
    <w:rsid w:val="005830B4"/>
    <w:rsid w:val="00584160"/>
    <w:rsid w:val="0058457F"/>
    <w:rsid w:val="005859DB"/>
    <w:rsid w:val="005861CC"/>
    <w:rsid w:val="00586FBC"/>
    <w:rsid w:val="0058798C"/>
    <w:rsid w:val="005900FA"/>
    <w:rsid w:val="005910EA"/>
    <w:rsid w:val="005935A4"/>
    <w:rsid w:val="00593DAB"/>
    <w:rsid w:val="005948C2"/>
    <w:rsid w:val="00595354"/>
    <w:rsid w:val="00595CF9"/>
    <w:rsid w:val="00595DCA"/>
    <w:rsid w:val="0059779B"/>
    <w:rsid w:val="00597816"/>
    <w:rsid w:val="00597B12"/>
    <w:rsid w:val="005A0DB4"/>
    <w:rsid w:val="005A1BD2"/>
    <w:rsid w:val="005A209A"/>
    <w:rsid w:val="005A2A0F"/>
    <w:rsid w:val="005A3A25"/>
    <w:rsid w:val="005A662D"/>
    <w:rsid w:val="005B0955"/>
    <w:rsid w:val="005B1409"/>
    <w:rsid w:val="005B34A3"/>
    <w:rsid w:val="005B35D7"/>
    <w:rsid w:val="005B392A"/>
    <w:rsid w:val="005B3AA3"/>
    <w:rsid w:val="005B5CA4"/>
    <w:rsid w:val="005B6F83"/>
    <w:rsid w:val="005C2222"/>
    <w:rsid w:val="005C2517"/>
    <w:rsid w:val="005C3CFF"/>
    <w:rsid w:val="005C3EEE"/>
    <w:rsid w:val="005C74FB"/>
    <w:rsid w:val="005D0646"/>
    <w:rsid w:val="005D1602"/>
    <w:rsid w:val="005D2414"/>
    <w:rsid w:val="005D28EE"/>
    <w:rsid w:val="005D42C9"/>
    <w:rsid w:val="005D6EF1"/>
    <w:rsid w:val="005E00A2"/>
    <w:rsid w:val="005E0AAD"/>
    <w:rsid w:val="005E385F"/>
    <w:rsid w:val="005E3F85"/>
    <w:rsid w:val="005E5B81"/>
    <w:rsid w:val="005E62EF"/>
    <w:rsid w:val="005E7C96"/>
    <w:rsid w:val="005F175F"/>
    <w:rsid w:val="005F2CB1"/>
    <w:rsid w:val="005F3025"/>
    <w:rsid w:val="005F45C2"/>
    <w:rsid w:val="005F618C"/>
    <w:rsid w:val="005F6D8A"/>
    <w:rsid w:val="005F70BD"/>
    <w:rsid w:val="005F7C00"/>
    <w:rsid w:val="006008D4"/>
    <w:rsid w:val="006009CD"/>
    <w:rsid w:val="00600D31"/>
    <w:rsid w:val="0060283C"/>
    <w:rsid w:val="006039A0"/>
    <w:rsid w:val="00603E82"/>
    <w:rsid w:val="00604333"/>
    <w:rsid w:val="00604855"/>
    <w:rsid w:val="00604F14"/>
    <w:rsid w:val="00611925"/>
    <w:rsid w:val="00611B83"/>
    <w:rsid w:val="00613257"/>
    <w:rsid w:val="00615763"/>
    <w:rsid w:val="006201F0"/>
    <w:rsid w:val="00620A71"/>
    <w:rsid w:val="00620D80"/>
    <w:rsid w:val="00623083"/>
    <w:rsid w:val="006234A6"/>
    <w:rsid w:val="00624164"/>
    <w:rsid w:val="00624D2A"/>
    <w:rsid w:val="00625650"/>
    <w:rsid w:val="00630001"/>
    <w:rsid w:val="00630932"/>
    <w:rsid w:val="006311B3"/>
    <w:rsid w:val="0063284C"/>
    <w:rsid w:val="00634903"/>
    <w:rsid w:val="00634A2F"/>
    <w:rsid w:val="006359A2"/>
    <w:rsid w:val="00636398"/>
    <w:rsid w:val="006368D3"/>
    <w:rsid w:val="006370A5"/>
    <w:rsid w:val="006377EC"/>
    <w:rsid w:val="00641460"/>
    <w:rsid w:val="0064151F"/>
    <w:rsid w:val="00641533"/>
    <w:rsid w:val="0064208D"/>
    <w:rsid w:val="00643475"/>
    <w:rsid w:val="00643577"/>
    <w:rsid w:val="00643861"/>
    <w:rsid w:val="0064396A"/>
    <w:rsid w:val="00644274"/>
    <w:rsid w:val="00644872"/>
    <w:rsid w:val="006456D2"/>
    <w:rsid w:val="00645E3A"/>
    <w:rsid w:val="0064624E"/>
    <w:rsid w:val="00647B0F"/>
    <w:rsid w:val="00647FDE"/>
    <w:rsid w:val="00650AB9"/>
    <w:rsid w:val="0065110C"/>
    <w:rsid w:val="00651A2B"/>
    <w:rsid w:val="00652C44"/>
    <w:rsid w:val="00655733"/>
    <w:rsid w:val="00655ACD"/>
    <w:rsid w:val="00656A92"/>
    <w:rsid w:val="00656DDE"/>
    <w:rsid w:val="0066011D"/>
    <w:rsid w:val="006604BF"/>
    <w:rsid w:val="0066062E"/>
    <w:rsid w:val="006607C0"/>
    <w:rsid w:val="006613A6"/>
    <w:rsid w:val="0066156A"/>
    <w:rsid w:val="00661820"/>
    <w:rsid w:val="0066226A"/>
    <w:rsid w:val="006627A2"/>
    <w:rsid w:val="00663094"/>
    <w:rsid w:val="006634E6"/>
    <w:rsid w:val="006655EE"/>
    <w:rsid w:val="00667EE7"/>
    <w:rsid w:val="0067033E"/>
    <w:rsid w:val="00670922"/>
    <w:rsid w:val="00670BE1"/>
    <w:rsid w:val="0067218F"/>
    <w:rsid w:val="006722B5"/>
    <w:rsid w:val="006741F2"/>
    <w:rsid w:val="00674CC3"/>
    <w:rsid w:val="00675C72"/>
    <w:rsid w:val="00676BDF"/>
    <w:rsid w:val="00676CF7"/>
    <w:rsid w:val="006771F9"/>
    <w:rsid w:val="006776D7"/>
    <w:rsid w:val="00677BFD"/>
    <w:rsid w:val="00677FEE"/>
    <w:rsid w:val="00681003"/>
    <w:rsid w:val="0068145B"/>
    <w:rsid w:val="006817C9"/>
    <w:rsid w:val="006820C5"/>
    <w:rsid w:val="00683157"/>
    <w:rsid w:val="00683943"/>
    <w:rsid w:val="00683ECE"/>
    <w:rsid w:val="00685058"/>
    <w:rsid w:val="00690454"/>
    <w:rsid w:val="00691F93"/>
    <w:rsid w:val="0069210F"/>
    <w:rsid w:val="00695FC2"/>
    <w:rsid w:val="00696035"/>
    <w:rsid w:val="00696949"/>
    <w:rsid w:val="00696CB7"/>
    <w:rsid w:val="00697052"/>
    <w:rsid w:val="006A0799"/>
    <w:rsid w:val="006A437D"/>
    <w:rsid w:val="006A46FB"/>
    <w:rsid w:val="006A49E9"/>
    <w:rsid w:val="006A4E04"/>
    <w:rsid w:val="006A5E28"/>
    <w:rsid w:val="006A697B"/>
    <w:rsid w:val="006A7AFF"/>
    <w:rsid w:val="006B0262"/>
    <w:rsid w:val="006B1816"/>
    <w:rsid w:val="006B2099"/>
    <w:rsid w:val="006B231F"/>
    <w:rsid w:val="006B24C8"/>
    <w:rsid w:val="006B50CF"/>
    <w:rsid w:val="006C03B8"/>
    <w:rsid w:val="006C1F3A"/>
    <w:rsid w:val="006C4442"/>
    <w:rsid w:val="006C5EC9"/>
    <w:rsid w:val="006C6059"/>
    <w:rsid w:val="006C701A"/>
    <w:rsid w:val="006C7522"/>
    <w:rsid w:val="006D03C6"/>
    <w:rsid w:val="006D0D28"/>
    <w:rsid w:val="006D25B6"/>
    <w:rsid w:val="006D2B50"/>
    <w:rsid w:val="006D5606"/>
    <w:rsid w:val="006D6F08"/>
    <w:rsid w:val="006E062C"/>
    <w:rsid w:val="006E1C82"/>
    <w:rsid w:val="006E264B"/>
    <w:rsid w:val="006E286F"/>
    <w:rsid w:val="006E28B7"/>
    <w:rsid w:val="006E2A9B"/>
    <w:rsid w:val="006E3310"/>
    <w:rsid w:val="006E4E39"/>
    <w:rsid w:val="006E565E"/>
    <w:rsid w:val="006E673D"/>
    <w:rsid w:val="006E74C3"/>
    <w:rsid w:val="006E7D3B"/>
    <w:rsid w:val="006F058D"/>
    <w:rsid w:val="006F1B70"/>
    <w:rsid w:val="006F341D"/>
    <w:rsid w:val="006F3CDE"/>
    <w:rsid w:val="006F58D4"/>
    <w:rsid w:val="006F6582"/>
    <w:rsid w:val="006F75DF"/>
    <w:rsid w:val="007007CA"/>
    <w:rsid w:val="0070346E"/>
    <w:rsid w:val="00704179"/>
    <w:rsid w:val="00704325"/>
    <w:rsid w:val="0070482D"/>
    <w:rsid w:val="00704EDB"/>
    <w:rsid w:val="00706012"/>
    <w:rsid w:val="00706101"/>
    <w:rsid w:val="00707072"/>
    <w:rsid w:val="00707D61"/>
    <w:rsid w:val="00710267"/>
    <w:rsid w:val="00710F89"/>
    <w:rsid w:val="00712287"/>
    <w:rsid w:val="00712772"/>
    <w:rsid w:val="00714379"/>
    <w:rsid w:val="007148D3"/>
    <w:rsid w:val="007149DC"/>
    <w:rsid w:val="00715B9A"/>
    <w:rsid w:val="00715FA7"/>
    <w:rsid w:val="0071619A"/>
    <w:rsid w:val="007203CA"/>
    <w:rsid w:val="0072078B"/>
    <w:rsid w:val="007208E8"/>
    <w:rsid w:val="007257D0"/>
    <w:rsid w:val="00726EA6"/>
    <w:rsid w:val="00727208"/>
    <w:rsid w:val="00727680"/>
    <w:rsid w:val="00730C39"/>
    <w:rsid w:val="007315C9"/>
    <w:rsid w:val="00733E1D"/>
    <w:rsid w:val="007348B1"/>
    <w:rsid w:val="00735DE2"/>
    <w:rsid w:val="007362A6"/>
    <w:rsid w:val="00736406"/>
    <w:rsid w:val="00736D7D"/>
    <w:rsid w:val="00737D35"/>
    <w:rsid w:val="00737DA0"/>
    <w:rsid w:val="00737FFE"/>
    <w:rsid w:val="00740950"/>
    <w:rsid w:val="00740E58"/>
    <w:rsid w:val="00743F60"/>
    <w:rsid w:val="007445A0"/>
    <w:rsid w:val="0074524B"/>
    <w:rsid w:val="00745DC3"/>
    <w:rsid w:val="00747D8B"/>
    <w:rsid w:val="0075098E"/>
    <w:rsid w:val="00750DAE"/>
    <w:rsid w:val="00751228"/>
    <w:rsid w:val="00751BE1"/>
    <w:rsid w:val="00753587"/>
    <w:rsid w:val="00753CA5"/>
    <w:rsid w:val="00753D8B"/>
    <w:rsid w:val="007540BD"/>
    <w:rsid w:val="007568AD"/>
    <w:rsid w:val="00756970"/>
    <w:rsid w:val="00756AE1"/>
    <w:rsid w:val="007571E1"/>
    <w:rsid w:val="00757A16"/>
    <w:rsid w:val="007604B2"/>
    <w:rsid w:val="00760945"/>
    <w:rsid w:val="00762E75"/>
    <w:rsid w:val="00765281"/>
    <w:rsid w:val="00765551"/>
    <w:rsid w:val="00766BAD"/>
    <w:rsid w:val="00767043"/>
    <w:rsid w:val="0076732B"/>
    <w:rsid w:val="007729A2"/>
    <w:rsid w:val="00773B0B"/>
    <w:rsid w:val="007755F2"/>
    <w:rsid w:val="00776183"/>
    <w:rsid w:val="00776971"/>
    <w:rsid w:val="00780A80"/>
    <w:rsid w:val="0078177E"/>
    <w:rsid w:val="0078304C"/>
    <w:rsid w:val="00783673"/>
    <w:rsid w:val="007843B0"/>
    <w:rsid w:val="00785490"/>
    <w:rsid w:val="00786038"/>
    <w:rsid w:val="00786EDF"/>
    <w:rsid w:val="0078792A"/>
    <w:rsid w:val="00791415"/>
    <w:rsid w:val="00791E95"/>
    <w:rsid w:val="007925EA"/>
    <w:rsid w:val="00793CD8"/>
    <w:rsid w:val="00795C92"/>
    <w:rsid w:val="00796231"/>
    <w:rsid w:val="00797EEA"/>
    <w:rsid w:val="007A1CB3"/>
    <w:rsid w:val="007A306F"/>
    <w:rsid w:val="007A43A6"/>
    <w:rsid w:val="007A51DE"/>
    <w:rsid w:val="007A5726"/>
    <w:rsid w:val="007A58A6"/>
    <w:rsid w:val="007A6DA6"/>
    <w:rsid w:val="007A7351"/>
    <w:rsid w:val="007B3D2D"/>
    <w:rsid w:val="007B49B0"/>
    <w:rsid w:val="007B50AE"/>
    <w:rsid w:val="007B51DF"/>
    <w:rsid w:val="007B621C"/>
    <w:rsid w:val="007B6E7A"/>
    <w:rsid w:val="007C05DD"/>
    <w:rsid w:val="007C1B93"/>
    <w:rsid w:val="007C3D18"/>
    <w:rsid w:val="007C43C8"/>
    <w:rsid w:val="007C4B7C"/>
    <w:rsid w:val="007C5B38"/>
    <w:rsid w:val="007C60BF"/>
    <w:rsid w:val="007C6A07"/>
    <w:rsid w:val="007C75A1"/>
    <w:rsid w:val="007C77A5"/>
    <w:rsid w:val="007D04E5"/>
    <w:rsid w:val="007D0887"/>
    <w:rsid w:val="007D0BFB"/>
    <w:rsid w:val="007D2F86"/>
    <w:rsid w:val="007D3869"/>
    <w:rsid w:val="007D4B0B"/>
    <w:rsid w:val="007D5901"/>
    <w:rsid w:val="007D5BCA"/>
    <w:rsid w:val="007D615F"/>
    <w:rsid w:val="007D7526"/>
    <w:rsid w:val="007D75ED"/>
    <w:rsid w:val="007E4610"/>
    <w:rsid w:val="007E4715"/>
    <w:rsid w:val="007E4780"/>
    <w:rsid w:val="007E505B"/>
    <w:rsid w:val="007E6849"/>
    <w:rsid w:val="007E7091"/>
    <w:rsid w:val="007F0D3D"/>
    <w:rsid w:val="007F357F"/>
    <w:rsid w:val="007F47B5"/>
    <w:rsid w:val="007F753D"/>
    <w:rsid w:val="00800104"/>
    <w:rsid w:val="00803FAE"/>
    <w:rsid w:val="0080442E"/>
    <w:rsid w:val="0080605F"/>
    <w:rsid w:val="00806509"/>
    <w:rsid w:val="00807442"/>
    <w:rsid w:val="00807786"/>
    <w:rsid w:val="00811FCB"/>
    <w:rsid w:val="0081220E"/>
    <w:rsid w:val="00812F96"/>
    <w:rsid w:val="00813E6A"/>
    <w:rsid w:val="008158D6"/>
    <w:rsid w:val="0081696B"/>
    <w:rsid w:val="00817196"/>
    <w:rsid w:val="0082168B"/>
    <w:rsid w:val="00822898"/>
    <w:rsid w:val="00822BBF"/>
    <w:rsid w:val="008235DB"/>
    <w:rsid w:val="00824938"/>
    <w:rsid w:val="00824AB4"/>
    <w:rsid w:val="00825C42"/>
    <w:rsid w:val="00825D25"/>
    <w:rsid w:val="008276A5"/>
    <w:rsid w:val="00827D6F"/>
    <w:rsid w:val="0083190E"/>
    <w:rsid w:val="00831AAF"/>
    <w:rsid w:val="00831BB5"/>
    <w:rsid w:val="00835687"/>
    <w:rsid w:val="00837670"/>
    <w:rsid w:val="008376AC"/>
    <w:rsid w:val="00841995"/>
    <w:rsid w:val="008443E9"/>
    <w:rsid w:val="008444E8"/>
    <w:rsid w:val="00844E80"/>
    <w:rsid w:val="00845463"/>
    <w:rsid w:val="008456A8"/>
    <w:rsid w:val="00846FE7"/>
    <w:rsid w:val="00850F16"/>
    <w:rsid w:val="008515C6"/>
    <w:rsid w:val="008516C9"/>
    <w:rsid w:val="00856911"/>
    <w:rsid w:val="00857401"/>
    <w:rsid w:val="00862A67"/>
    <w:rsid w:val="008632BC"/>
    <w:rsid w:val="00863D3C"/>
    <w:rsid w:val="008677FD"/>
    <w:rsid w:val="008706D4"/>
    <w:rsid w:val="00870A25"/>
    <w:rsid w:val="00870F41"/>
    <w:rsid w:val="00870F8A"/>
    <w:rsid w:val="008719A4"/>
    <w:rsid w:val="00871D23"/>
    <w:rsid w:val="00872745"/>
    <w:rsid w:val="008732E7"/>
    <w:rsid w:val="0087362B"/>
    <w:rsid w:val="00874312"/>
    <w:rsid w:val="00874333"/>
    <w:rsid w:val="0087437C"/>
    <w:rsid w:val="00875CD7"/>
    <w:rsid w:val="00876B4D"/>
    <w:rsid w:val="00877F18"/>
    <w:rsid w:val="008810D3"/>
    <w:rsid w:val="00881A15"/>
    <w:rsid w:val="00883F56"/>
    <w:rsid w:val="00891D41"/>
    <w:rsid w:val="008941E3"/>
    <w:rsid w:val="008947DF"/>
    <w:rsid w:val="00894A88"/>
    <w:rsid w:val="00895386"/>
    <w:rsid w:val="008961BB"/>
    <w:rsid w:val="00897BC9"/>
    <w:rsid w:val="008A0F46"/>
    <w:rsid w:val="008A21FF"/>
    <w:rsid w:val="008A2CE2"/>
    <w:rsid w:val="008A30AC"/>
    <w:rsid w:val="008A370F"/>
    <w:rsid w:val="008A44B8"/>
    <w:rsid w:val="008A4D50"/>
    <w:rsid w:val="008A51A8"/>
    <w:rsid w:val="008A5409"/>
    <w:rsid w:val="008A54C7"/>
    <w:rsid w:val="008A77D8"/>
    <w:rsid w:val="008A7C6F"/>
    <w:rsid w:val="008B0483"/>
    <w:rsid w:val="008B0BE1"/>
    <w:rsid w:val="008B120C"/>
    <w:rsid w:val="008B1ABB"/>
    <w:rsid w:val="008B4B04"/>
    <w:rsid w:val="008B51A0"/>
    <w:rsid w:val="008B553C"/>
    <w:rsid w:val="008B592A"/>
    <w:rsid w:val="008B5F03"/>
    <w:rsid w:val="008B67CF"/>
    <w:rsid w:val="008B6FB7"/>
    <w:rsid w:val="008B77AA"/>
    <w:rsid w:val="008B7B5C"/>
    <w:rsid w:val="008B7FF6"/>
    <w:rsid w:val="008C0C99"/>
    <w:rsid w:val="008C2017"/>
    <w:rsid w:val="008C2018"/>
    <w:rsid w:val="008C4958"/>
    <w:rsid w:val="008C4BAA"/>
    <w:rsid w:val="008C5A77"/>
    <w:rsid w:val="008C6AE8"/>
    <w:rsid w:val="008C7573"/>
    <w:rsid w:val="008D00A5"/>
    <w:rsid w:val="008D22F8"/>
    <w:rsid w:val="008D3462"/>
    <w:rsid w:val="008D34F1"/>
    <w:rsid w:val="008D34F3"/>
    <w:rsid w:val="008D39D8"/>
    <w:rsid w:val="008D3FA4"/>
    <w:rsid w:val="008D6201"/>
    <w:rsid w:val="008D6D1A"/>
    <w:rsid w:val="008D7B00"/>
    <w:rsid w:val="008E065E"/>
    <w:rsid w:val="008E0927"/>
    <w:rsid w:val="008E1909"/>
    <w:rsid w:val="008E1E06"/>
    <w:rsid w:val="008E2C04"/>
    <w:rsid w:val="008E3D36"/>
    <w:rsid w:val="008E446B"/>
    <w:rsid w:val="008E4C09"/>
    <w:rsid w:val="008E784A"/>
    <w:rsid w:val="008F1EAB"/>
    <w:rsid w:val="008F2C6C"/>
    <w:rsid w:val="008F33DC"/>
    <w:rsid w:val="008F35C2"/>
    <w:rsid w:val="008F477F"/>
    <w:rsid w:val="00902350"/>
    <w:rsid w:val="0090336B"/>
    <w:rsid w:val="009053AA"/>
    <w:rsid w:val="00905EA3"/>
    <w:rsid w:val="0090601B"/>
    <w:rsid w:val="0090632C"/>
    <w:rsid w:val="00906939"/>
    <w:rsid w:val="0090791C"/>
    <w:rsid w:val="00910B7D"/>
    <w:rsid w:val="00911440"/>
    <w:rsid w:val="00911DFB"/>
    <w:rsid w:val="0091232E"/>
    <w:rsid w:val="00913627"/>
    <w:rsid w:val="009139D9"/>
    <w:rsid w:val="00914AD8"/>
    <w:rsid w:val="00915FE9"/>
    <w:rsid w:val="00916079"/>
    <w:rsid w:val="009172A6"/>
    <w:rsid w:val="0091754F"/>
    <w:rsid w:val="0091782A"/>
    <w:rsid w:val="00917CE9"/>
    <w:rsid w:val="00920BF2"/>
    <w:rsid w:val="00922010"/>
    <w:rsid w:val="00923D96"/>
    <w:rsid w:val="00924FB0"/>
    <w:rsid w:val="00925559"/>
    <w:rsid w:val="009317CD"/>
    <w:rsid w:val="00931AF2"/>
    <w:rsid w:val="00931BD9"/>
    <w:rsid w:val="00931E62"/>
    <w:rsid w:val="00933C8F"/>
    <w:rsid w:val="009344F8"/>
    <w:rsid w:val="00934624"/>
    <w:rsid w:val="00934F13"/>
    <w:rsid w:val="0093583F"/>
    <w:rsid w:val="009368F3"/>
    <w:rsid w:val="00937A62"/>
    <w:rsid w:val="00937AF9"/>
    <w:rsid w:val="009405D7"/>
    <w:rsid w:val="009405DF"/>
    <w:rsid w:val="00941636"/>
    <w:rsid w:val="00942D98"/>
    <w:rsid w:val="00943742"/>
    <w:rsid w:val="00945C05"/>
    <w:rsid w:val="00946871"/>
    <w:rsid w:val="00946945"/>
    <w:rsid w:val="00947713"/>
    <w:rsid w:val="00947B69"/>
    <w:rsid w:val="009505F8"/>
    <w:rsid w:val="00950BB3"/>
    <w:rsid w:val="00950DE7"/>
    <w:rsid w:val="009517BF"/>
    <w:rsid w:val="00952759"/>
    <w:rsid w:val="0095338B"/>
    <w:rsid w:val="00953920"/>
    <w:rsid w:val="00953D47"/>
    <w:rsid w:val="00953DAB"/>
    <w:rsid w:val="00955F0C"/>
    <w:rsid w:val="0095681E"/>
    <w:rsid w:val="00956BE0"/>
    <w:rsid w:val="00956F97"/>
    <w:rsid w:val="009572D4"/>
    <w:rsid w:val="0096016B"/>
    <w:rsid w:val="00961921"/>
    <w:rsid w:val="00961A0C"/>
    <w:rsid w:val="00964305"/>
    <w:rsid w:val="0096430A"/>
    <w:rsid w:val="0096554B"/>
    <w:rsid w:val="0096584A"/>
    <w:rsid w:val="00965CA7"/>
    <w:rsid w:val="009670A4"/>
    <w:rsid w:val="0097087D"/>
    <w:rsid w:val="00971674"/>
    <w:rsid w:val="00971D22"/>
    <w:rsid w:val="00971F08"/>
    <w:rsid w:val="009723FE"/>
    <w:rsid w:val="00972468"/>
    <w:rsid w:val="009758E1"/>
    <w:rsid w:val="0097603D"/>
    <w:rsid w:val="00976949"/>
    <w:rsid w:val="0097797F"/>
    <w:rsid w:val="00980477"/>
    <w:rsid w:val="00980A7F"/>
    <w:rsid w:val="00980DCE"/>
    <w:rsid w:val="00981410"/>
    <w:rsid w:val="00981C80"/>
    <w:rsid w:val="00984F5C"/>
    <w:rsid w:val="00985243"/>
    <w:rsid w:val="00985253"/>
    <w:rsid w:val="009853B3"/>
    <w:rsid w:val="00985CE2"/>
    <w:rsid w:val="00990630"/>
    <w:rsid w:val="00991761"/>
    <w:rsid w:val="00994DCA"/>
    <w:rsid w:val="009960EC"/>
    <w:rsid w:val="009970DD"/>
    <w:rsid w:val="009A0D9F"/>
    <w:rsid w:val="009A0FBA"/>
    <w:rsid w:val="009A15F6"/>
    <w:rsid w:val="009A1601"/>
    <w:rsid w:val="009A3BB6"/>
    <w:rsid w:val="009A3BF6"/>
    <w:rsid w:val="009A3DB5"/>
    <w:rsid w:val="009A44D8"/>
    <w:rsid w:val="009A462D"/>
    <w:rsid w:val="009A5219"/>
    <w:rsid w:val="009A5CBA"/>
    <w:rsid w:val="009A6B4C"/>
    <w:rsid w:val="009B1588"/>
    <w:rsid w:val="009B1F30"/>
    <w:rsid w:val="009B3AC2"/>
    <w:rsid w:val="009B4438"/>
    <w:rsid w:val="009B4DF4"/>
    <w:rsid w:val="009B564E"/>
    <w:rsid w:val="009B7E87"/>
    <w:rsid w:val="009C0169"/>
    <w:rsid w:val="009C0283"/>
    <w:rsid w:val="009C0AC7"/>
    <w:rsid w:val="009C14BE"/>
    <w:rsid w:val="009C1746"/>
    <w:rsid w:val="009C403E"/>
    <w:rsid w:val="009C5A19"/>
    <w:rsid w:val="009D3C1D"/>
    <w:rsid w:val="009D4511"/>
    <w:rsid w:val="009D4A4A"/>
    <w:rsid w:val="009D4FF0"/>
    <w:rsid w:val="009D6262"/>
    <w:rsid w:val="009D703C"/>
    <w:rsid w:val="009D718F"/>
    <w:rsid w:val="009D72B4"/>
    <w:rsid w:val="009D7AA7"/>
    <w:rsid w:val="009E068F"/>
    <w:rsid w:val="009E14E0"/>
    <w:rsid w:val="009E35DB"/>
    <w:rsid w:val="009E47A3"/>
    <w:rsid w:val="009E4A85"/>
    <w:rsid w:val="009E7728"/>
    <w:rsid w:val="009E77BD"/>
    <w:rsid w:val="009F08F3"/>
    <w:rsid w:val="009F344F"/>
    <w:rsid w:val="009F463A"/>
    <w:rsid w:val="009F4763"/>
    <w:rsid w:val="009F55A2"/>
    <w:rsid w:val="00A031D8"/>
    <w:rsid w:val="00A048A8"/>
    <w:rsid w:val="00A04C78"/>
    <w:rsid w:val="00A04F49"/>
    <w:rsid w:val="00A05F21"/>
    <w:rsid w:val="00A07805"/>
    <w:rsid w:val="00A11393"/>
    <w:rsid w:val="00A115CF"/>
    <w:rsid w:val="00A12E41"/>
    <w:rsid w:val="00A1340E"/>
    <w:rsid w:val="00A13718"/>
    <w:rsid w:val="00A13E54"/>
    <w:rsid w:val="00A16942"/>
    <w:rsid w:val="00A17F63"/>
    <w:rsid w:val="00A2193B"/>
    <w:rsid w:val="00A2268A"/>
    <w:rsid w:val="00A23192"/>
    <w:rsid w:val="00A2351A"/>
    <w:rsid w:val="00A24170"/>
    <w:rsid w:val="00A24724"/>
    <w:rsid w:val="00A264A9"/>
    <w:rsid w:val="00A26DCF"/>
    <w:rsid w:val="00A27785"/>
    <w:rsid w:val="00A30187"/>
    <w:rsid w:val="00A3448A"/>
    <w:rsid w:val="00A3472C"/>
    <w:rsid w:val="00A34953"/>
    <w:rsid w:val="00A36297"/>
    <w:rsid w:val="00A36E0B"/>
    <w:rsid w:val="00A41AC7"/>
    <w:rsid w:val="00A41E03"/>
    <w:rsid w:val="00A41E2B"/>
    <w:rsid w:val="00A420C2"/>
    <w:rsid w:val="00A4459A"/>
    <w:rsid w:val="00A45B74"/>
    <w:rsid w:val="00A471A0"/>
    <w:rsid w:val="00A52E1D"/>
    <w:rsid w:val="00A55F14"/>
    <w:rsid w:val="00A57D67"/>
    <w:rsid w:val="00A6083C"/>
    <w:rsid w:val="00A61499"/>
    <w:rsid w:val="00A629D2"/>
    <w:rsid w:val="00A62A77"/>
    <w:rsid w:val="00A63483"/>
    <w:rsid w:val="00A63567"/>
    <w:rsid w:val="00A657D7"/>
    <w:rsid w:val="00A660AC"/>
    <w:rsid w:val="00A67E6C"/>
    <w:rsid w:val="00A71B99"/>
    <w:rsid w:val="00A739D0"/>
    <w:rsid w:val="00A7489E"/>
    <w:rsid w:val="00A75122"/>
    <w:rsid w:val="00A75EC6"/>
    <w:rsid w:val="00A761D4"/>
    <w:rsid w:val="00A772D6"/>
    <w:rsid w:val="00A77309"/>
    <w:rsid w:val="00A77EC4"/>
    <w:rsid w:val="00A80FCA"/>
    <w:rsid w:val="00A8304E"/>
    <w:rsid w:val="00A83733"/>
    <w:rsid w:val="00A84376"/>
    <w:rsid w:val="00A8441E"/>
    <w:rsid w:val="00A85975"/>
    <w:rsid w:val="00A8659B"/>
    <w:rsid w:val="00A8732F"/>
    <w:rsid w:val="00A87AB5"/>
    <w:rsid w:val="00A87BD0"/>
    <w:rsid w:val="00A916C3"/>
    <w:rsid w:val="00A92879"/>
    <w:rsid w:val="00A92F47"/>
    <w:rsid w:val="00A93B35"/>
    <w:rsid w:val="00A9442A"/>
    <w:rsid w:val="00A9545E"/>
    <w:rsid w:val="00A96BAF"/>
    <w:rsid w:val="00A96E4E"/>
    <w:rsid w:val="00AA016F"/>
    <w:rsid w:val="00AA0D45"/>
    <w:rsid w:val="00AA1019"/>
    <w:rsid w:val="00AA1ED6"/>
    <w:rsid w:val="00AA2EAD"/>
    <w:rsid w:val="00AA2FF2"/>
    <w:rsid w:val="00AA35D3"/>
    <w:rsid w:val="00AA51D6"/>
    <w:rsid w:val="00AA66E5"/>
    <w:rsid w:val="00AA69DE"/>
    <w:rsid w:val="00AA7DE1"/>
    <w:rsid w:val="00AB0BC8"/>
    <w:rsid w:val="00AB10F1"/>
    <w:rsid w:val="00AB110C"/>
    <w:rsid w:val="00AB11CA"/>
    <w:rsid w:val="00AB14D9"/>
    <w:rsid w:val="00AB2F04"/>
    <w:rsid w:val="00AB4AB8"/>
    <w:rsid w:val="00AB655E"/>
    <w:rsid w:val="00AB67A7"/>
    <w:rsid w:val="00AB6E57"/>
    <w:rsid w:val="00AC007F"/>
    <w:rsid w:val="00AC0CF2"/>
    <w:rsid w:val="00AC1208"/>
    <w:rsid w:val="00AC1EDF"/>
    <w:rsid w:val="00AC2DF3"/>
    <w:rsid w:val="00AC2ECD"/>
    <w:rsid w:val="00AC3119"/>
    <w:rsid w:val="00AC49FB"/>
    <w:rsid w:val="00AC5A10"/>
    <w:rsid w:val="00AD0AA3"/>
    <w:rsid w:val="00AD10FC"/>
    <w:rsid w:val="00AD1613"/>
    <w:rsid w:val="00AD3F94"/>
    <w:rsid w:val="00AD4A5A"/>
    <w:rsid w:val="00AD4B32"/>
    <w:rsid w:val="00AE1C8B"/>
    <w:rsid w:val="00AE1D7A"/>
    <w:rsid w:val="00AE27AC"/>
    <w:rsid w:val="00AE40E0"/>
    <w:rsid w:val="00AE40E9"/>
    <w:rsid w:val="00AE4DBA"/>
    <w:rsid w:val="00AE4F07"/>
    <w:rsid w:val="00AE7F78"/>
    <w:rsid w:val="00AE7FB3"/>
    <w:rsid w:val="00AF02AC"/>
    <w:rsid w:val="00AF116E"/>
    <w:rsid w:val="00AF1C5D"/>
    <w:rsid w:val="00AF23FE"/>
    <w:rsid w:val="00AF2CBA"/>
    <w:rsid w:val="00AF3F2A"/>
    <w:rsid w:val="00AF42D7"/>
    <w:rsid w:val="00AF43B9"/>
    <w:rsid w:val="00AF44A4"/>
    <w:rsid w:val="00AF5433"/>
    <w:rsid w:val="00B006FE"/>
    <w:rsid w:val="00B007CB"/>
    <w:rsid w:val="00B02197"/>
    <w:rsid w:val="00B02AA9"/>
    <w:rsid w:val="00B02C21"/>
    <w:rsid w:val="00B02FA3"/>
    <w:rsid w:val="00B05084"/>
    <w:rsid w:val="00B0526B"/>
    <w:rsid w:val="00B105E3"/>
    <w:rsid w:val="00B13DBD"/>
    <w:rsid w:val="00B15696"/>
    <w:rsid w:val="00B157F9"/>
    <w:rsid w:val="00B17733"/>
    <w:rsid w:val="00B17D58"/>
    <w:rsid w:val="00B20256"/>
    <w:rsid w:val="00B205A2"/>
    <w:rsid w:val="00B20D09"/>
    <w:rsid w:val="00B21350"/>
    <w:rsid w:val="00B21BE2"/>
    <w:rsid w:val="00B238ED"/>
    <w:rsid w:val="00B259D9"/>
    <w:rsid w:val="00B2763F"/>
    <w:rsid w:val="00B27AAC"/>
    <w:rsid w:val="00B3067E"/>
    <w:rsid w:val="00B30929"/>
    <w:rsid w:val="00B32467"/>
    <w:rsid w:val="00B348E0"/>
    <w:rsid w:val="00B3642E"/>
    <w:rsid w:val="00B372AA"/>
    <w:rsid w:val="00B40445"/>
    <w:rsid w:val="00B40670"/>
    <w:rsid w:val="00B409E0"/>
    <w:rsid w:val="00B41888"/>
    <w:rsid w:val="00B41CA3"/>
    <w:rsid w:val="00B4505A"/>
    <w:rsid w:val="00B458E2"/>
    <w:rsid w:val="00B458E7"/>
    <w:rsid w:val="00B45A52"/>
    <w:rsid w:val="00B46175"/>
    <w:rsid w:val="00B51596"/>
    <w:rsid w:val="00B52FE7"/>
    <w:rsid w:val="00B53128"/>
    <w:rsid w:val="00B548B7"/>
    <w:rsid w:val="00B55D37"/>
    <w:rsid w:val="00B56C21"/>
    <w:rsid w:val="00B56FE0"/>
    <w:rsid w:val="00B5797C"/>
    <w:rsid w:val="00B60B85"/>
    <w:rsid w:val="00B60BCA"/>
    <w:rsid w:val="00B610DB"/>
    <w:rsid w:val="00B63C9B"/>
    <w:rsid w:val="00B64EA6"/>
    <w:rsid w:val="00B653B0"/>
    <w:rsid w:val="00B654AB"/>
    <w:rsid w:val="00B664C7"/>
    <w:rsid w:val="00B67E21"/>
    <w:rsid w:val="00B67FB3"/>
    <w:rsid w:val="00B724A1"/>
    <w:rsid w:val="00B737CC"/>
    <w:rsid w:val="00B739F6"/>
    <w:rsid w:val="00B73FFC"/>
    <w:rsid w:val="00B74001"/>
    <w:rsid w:val="00B77490"/>
    <w:rsid w:val="00B81A6C"/>
    <w:rsid w:val="00B833C4"/>
    <w:rsid w:val="00B85DE5"/>
    <w:rsid w:val="00B860CA"/>
    <w:rsid w:val="00B868BC"/>
    <w:rsid w:val="00B90F73"/>
    <w:rsid w:val="00B91364"/>
    <w:rsid w:val="00B93B59"/>
    <w:rsid w:val="00B9406A"/>
    <w:rsid w:val="00BA01A5"/>
    <w:rsid w:val="00BA1F3F"/>
    <w:rsid w:val="00BA2280"/>
    <w:rsid w:val="00BA2A08"/>
    <w:rsid w:val="00BA3222"/>
    <w:rsid w:val="00BA53D5"/>
    <w:rsid w:val="00BA56D2"/>
    <w:rsid w:val="00BA5A76"/>
    <w:rsid w:val="00BA6680"/>
    <w:rsid w:val="00BA76E0"/>
    <w:rsid w:val="00BB1B77"/>
    <w:rsid w:val="00BB2A25"/>
    <w:rsid w:val="00BB301D"/>
    <w:rsid w:val="00BB31A7"/>
    <w:rsid w:val="00BB3682"/>
    <w:rsid w:val="00BB3709"/>
    <w:rsid w:val="00BB40A7"/>
    <w:rsid w:val="00BB51E9"/>
    <w:rsid w:val="00BB5FE8"/>
    <w:rsid w:val="00BB79EC"/>
    <w:rsid w:val="00BB7A76"/>
    <w:rsid w:val="00BC0FDC"/>
    <w:rsid w:val="00BC14C4"/>
    <w:rsid w:val="00BC3053"/>
    <w:rsid w:val="00BC34F7"/>
    <w:rsid w:val="00BC4371"/>
    <w:rsid w:val="00BC4D2E"/>
    <w:rsid w:val="00BC5BC7"/>
    <w:rsid w:val="00BC5C2D"/>
    <w:rsid w:val="00BC5F98"/>
    <w:rsid w:val="00BD1C34"/>
    <w:rsid w:val="00BD23CA"/>
    <w:rsid w:val="00BD349E"/>
    <w:rsid w:val="00BD4307"/>
    <w:rsid w:val="00BD4349"/>
    <w:rsid w:val="00BD48AC"/>
    <w:rsid w:val="00BD5F1A"/>
    <w:rsid w:val="00BD66C7"/>
    <w:rsid w:val="00BD67EE"/>
    <w:rsid w:val="00BD7892"/>
    <w:rsid w:val="00BE1234"/>
    <w:rsid w:val="00BE1B43"/>
    <w:rsid w:val="00BE2FA6"/>
    <w:rsid w:val="00BE333F"/>
    <w:rsid w:val="00BE349A"/>
    <w:rsid w:val="00BE35BE"/>
    <w:rsid w:val="00BE7406"/>
    <w:rsid w:val="00BE7519"/>
    <w:rsid w:val="00BE7603"/>
    <w:rsid w:val="00BF01A4"/>
    <w:rsid w:val="00BF1250"/>
    <w:rsid w:val="00BF1EF4"/>
    <w:rsid w:val="00BF2E12"/>
    <w:rsid w:val="00BF3279"/>
    <w:rsid w:val="00BF4C5D"/>
    <w:rsid w:val="00BF59C3"/>
    <w:rsid w:val="00BF6C91"/>
    <w:rsid w:val="00BF74C7"/>
    <w:rsid w:val="00BF76D0"/>
    <w:rsid w:val="00C015F1"/>
    <w:rsid w:val="00C01F33"/>
    <w:rsid w:val="00C02CC6"/>
    <w:rsid w:val="00C038A0"/>
    <w:rsid w:val="00C040F7"/>
    <w:rsid w:val="00C044AB"/>
    <w:rsid w:val="00C05706"/>
    <w:rsid w:val="00C05D22"/>
    <w:rsid w:val="00C07377"/>
    <w:rsid w:val="00C074FF"/>
    <w:rsid w:val="00C10478"/>
    <w:rsid w:val="00C117DB"/>
    <w:rsid w:val="00C12107"/>
    <w:rsid w:val="00C12266"/>
    <w:rsid w:val="00C137B9"/>
    <w:rsid w:val="00C13F69"/>
    <w:rsid w:val="00C14971"/>
    <w:rsid w:val="00C14D4B"/>
    <w:rsid w:val="00C154BB"/>
    <w:rsid w:val="00C1639F"/>
    <w:rsid w:val="00C165AB"/>
    <w:rsid w:val="00C176AC"/>
    <w:rsid w:val="00C17CC8"/>
    <w:rsid w:val="00C17F1A"/>
    <w:rsid w:val="00C225EC"/>
    <w:rsid w:val="00C22CBC"/>
    <w:rsid w:val="00C237A6"/>
    <w:rsid w:val="00C237C9"/>
    <w:rsid w:val="00C240F9"/>
    <w:rsid w:val="00C247C0"/>
    <w:rsid w:val="00C268E6"/>
    <w:rsid w:val="00C279B5"/>
    <w:rsid w:val="00C27C45"/>
    <w:rsid w:val="00C306E0"/>
    <w:rsid w:val="00C355C1"/>
    <w:rsid w:val="00C35FB3"/>
    <w:rsid w:val="00C3719D"/>
    <w:rsid w:val="00C37A57"/>
    <w:rsid w:val="00C37AAC"/>
    <w:rsid w:val="00C37CB2"/>
    <w:rsid w:val="00C37E75"/>
    <w:rsid w:val="00C43248"/>
    <w:rsid w:val="00C44107"/>
    <w:rsid w:val="00C44A6C"/>
    <w:rsid w:val="00C4572D"/>
    <w:rsid w:val="00C46DE0"/>
    <w:rsid w:val="00C46E11"/>
    <w:rsid w:val="00C473A5"/>
    <w:rsid w:val="00C47431"/>
    <w:rsid w:val="00C527B6"/>
    <w:rsid w:val="00C53CB0"/>
    <w:rsid w:val="00C53D78"/>
    <w:rsid w:val="00C54995"/>
    <w:rsid w:val="00C54A24"/>
    <w:rsid w:val="00C54D41"/>
    <w:rsid w:val="00C554F7"/>
    <w:rsid w:val="00C56205"/>
    <w:rsid w:val="00C57924"/>
    <w:rsid w:val="00C600A7"/>
    <w:rsid w:val="00C60783"/>
    <w:rsid w:val="00C63BD1"/>
    <w:rsid w:val="00C64672"/>
    <w:rsid w:val="00C64C59"/>
    <w:rsid w:val="00C66DD1"/>
    <w:rsid w:val="00C67E55"/>
    <w:rsid w:val="00C70697"/>
    <w:rsid w:val="00C7158C"/>
    <w:rsid w:val="00C71D44"/>
    <w:rsid w:val="00C72051"/>
    <w:rsid w:val="00C72093"/>
    <w:rsid w:val="00C72EF4"/>
    <w:rsid w:val="00C74170"/>
    <w:rsid w:val="00C744FE"/>
    <w:rsid w:val="00C75D2F"/>
    <w:rsid w:val="00C767BE"/>
    <w:rsid w:val="00C76E3C"/>
    <w:rsid w:val="00C77A70"/>
    <w:rsid w:val="00C81568"/>
    <w:rsid w:val="00C83D23"/>
    <w:rsid w:val="00C83F2A"/>
    <w:rsid w:val="00C8429E"/>
    <w:rsid w:val="00C84471"/>
    <w:rsid w:val="00C859B8"/>
    <w:rsid w:val="00C85A49"/>
    <w:rsid w:val="00C85CCE"/>
    <w:rsid w:val="00C85D7A"/>
    <w:rsid w:val="00C85F58"/>
    <w:rsid w:val="00C87532"/>
    <w:rsid w:val="00C9027A"/>
    <w:rsid w:val="00C9068E"/>
    <w:rsid w:val="00C9138B"/>
    <w:rsid w:val="00C91AB4"/>
    <w:rsid w:val="00C91B0D"/>
    <w:rsid w:val="00C930E4"/>
    <w:rsid w:val="00C93243"/>
    <w:rsid w:val="00C93814"/>
    <w:rsid w:val="00C939C4"/>
    <w:rsid w:val="00C93C4B"/>
    <w:rsid w:val="00C944AB"/>
    <w:rsid w:val="00C94913"/>
    <w:rsid w:val="00C957DA"/>
    <w:rsid w:val="00C95B40"/>
    <w:rsid w:val="00C96C7F"/>
    <w:rsid w:val="00C96E7F"/>
    <w:rsid w:val="00C97EA3"/>
    <w:rsid w:val="00CA1ED8"/>
    <w:rsid w:val="00CA2FEF"/>
    <w:rsid w:val="00CA52AC"/>
    <w:rsid w:val="00CA6998"/>
    <w:rsid w:val="00CA7E6C"/>
    <w:rsid w:val="00CB0C5A"/>
    <w:rsid w:val="00CB0ED0"/>
    <w:rsid w:val="00CB18D4"/>
    <w:rsid w:val="00CB1F63"/>
    <w:rsid w:val="00CB3AF2"/>
    <w:rsid w:val="00CB4982"/>
    <w:rsid w:val="00CB5BD7"/>
    <w:rsid w:val="00CB5D06"/>
    <w:rsid w:val="00CB7170"/>
    <w:rsid w:val="00CB7230"/>
    <w:rsid w:val="00CC040E"/>
    <w:rsid w:val="00CC111F"/>
    <w:rsid w:val="00CC12E1"/>
    <w:rsid w:val="00CC2011"/>
    <w:rsid w:val="00CC2F81"/>
    <w:rsid w:val="00CC3EA0"/>
    <w:rsid w:val="00CC4DD9"/>
    <w:rsid w:val="00CC67DC"/>
    <w:rsid w:val="00CC7B45"/>
    <w:rsid w:val="00CD0834"/>
    <w:rsid w:val="00CD0C3C"/>
    <w:rsid w:val="00CD0CC3"/>
    <w:rsid w:val="00CD1188"/>
    <w:rsid w:val="00CD1252"/>
    <w:rsid w:val="00CD2ED1"/>
    <w:rsid w:val="00CD337B"/>
    <w:rsid w:val="00CD35EF"/>
    <w:rsid w:val="00CD5181"/>
    <w:rsid w:val="00CD5476"/>
    <w:rsid w:val="00CD5D8B"/>
    <w:rsid w:val="00CD6A89"/>
    <w:rsid w:val="00CE0424"/>
    <w:rsid w:val="00CE0628"/>
    <w:rsid w:val="00CE15EF"/>
    <w:rsid w:val="00CE28CB"/>
    <w:rsid w:val="00CE3D4A"/>
    <w:rsid w:val="00CE4309"/>
    <w:rsid w:val="00CE59A9"/>
    <w:rsid w:val="00CE5E28"/>
    <w:rsid w:val="00CE7101"/>
    <w:rsid w:val="00CE7561"/>
    <w:rsid w:val="00CF0C10"/>
    <w:rsid w:val="00CF1354"/>
    <w:rsid w:val="00CF2059"/>
    <w:rsid w:val="00CF3B1F"/>
    <w:rsid w:val="00CF3BF6"/>
    <w:rsid w:val="00CF50A8"/>
    <w:rsid w:val="00CF56A7"/>
    <w:rsid w:val="00CF625B"/>
    <w:rsid w:val="00CF6483"/>
    <w:rsid w:val="00CF687E"/>
    <w:rsid w:val="00D00ABD"/>
    <w:rsid w:val="00D03188"/>
    <w:rsid w:val="00D0349B"/>
    <w:rsid w:val="00D03E23"/>
    <w:rsid w:val="00D05A3D"/>
    <w:rsid w:val="00D05E52"/>
    <w:rsid w:val="00D07F9A"/>
    <w:rsid w:val="00D10249"/>
    <w:rsid w:val="00D10ECC"/>
    <w:rsid w:val="00D115C3"/>
    <w:rsid w:val="00D11897"/>
    <w:rsid w:val="00D13102"/>
    <w:rsid w:val="00D13135"/>
    <w:rsid w:val="00D133A5"/>
    <w:rsid w:val="00D13E4E"/>
    <w:rsid w:val="00D1665A"/>
    <w:rsid w:val="00D16A89"/>
    <w:rsid w:val="00D202E0"/>
    <w:rsid w:val="00D2091B"/>
    <w:rsid w:val="00D239A7"/>
    <w:rsid w:val="00D23F47"/>
    <w:rsid w:val="00D24489"/>
    <w:rsid w:val="00D24707"/>
    <w:rsid w:val="00D24ACA"/>
    <w:rsid w:val="00D24D53"/>
    <w:rsid w:val="00D253BC"/>
    <w:rsid w:val="00D26300"/>
    <w:rsid w:val="00D32140"/>
    <w:rsid w:val="00D331C2"/>
    <w:rsid w:val="00D34B62"/>
    <w:rsid w:val="00D35FA0"/>
    <w:rsid w:val="00D36E71"/>
    <w:rsid w:val="00D37D87"/>
    <w:rsid w:val="00D40B33"/>
    <w:rsid w:val="00D40BF8"/>
    <w:rsid w:val="00D4318F"/>
    <w:rsid w:val="00D438BF"/>
    <w:rsid w:val="00D440F8"/>
    <w:rsid w:val="00D46653"/>
    <w:rsid w:val="00D50917"/>
    <w:rsid w:val="00D50B85"/>
    <w:rsid w:val="00D53AA5"/>
    <w:rsid w:val="00D54556"/>
    <w:rsid w:val="00D546FF"/>
    <w:rsid w:val="00D55AD5"/>
    <w:rsid w:val="00D57644"/>
    <w:rsid w:val="00D576CA"/>
    <w:rsid w:val="00D57A9D"/>
    <w:rsid w:val="00D6129B"/>
    <w:rsid w:val="00D61AF5"/>
    <w:rsid w:val="00D62040"/>
    <w:rsid w:val="00D623FE"/>
    <w:rsid w:val="00D652B5"/>
    <w:rsid w:val="00D66155"/>
    <w:rsid w:val="00D6712D"/>
    <w:rsid w:val="00D67AF0"/>
    <w:rsid w:val="00D70404"/>
    <w:rsid w:val="00D708B0"/>
    <w:rsid w:val="00D73138"/>
    <w:rsid w:val="00D73B0A"/>
    <w:rsid w:val="00D74E20"/>
    <w:rsid w:val="00D74F31"/>
    <w:rsid w:val="00D7630E"/>
    <w:rsid w:val="00D77B1D"/>
    <w:rsid w:val="00D8021F"/>
    <w:rsid w:val="00D80383"/>
    <w:rsid w:val="00D804B9"/>
    <w:rsid w:val="00D81C8F"/>
    <w:rsid w:val="00D823C6"/>
    <w:rsid w:val="00D82551"/>
    <w:rsid w:val="00D8327F"/>
    <w:rsid w:val="00D83430"/>
    <w:rsid w:val="00D86CA3"/>
    <w:rsid w:val="00D871CE"/>
    <w:rsid w:val="00D9196D"/>
    <w:rsid w:val="00D92982"/>
    <w:rsid w:val="00D93436"/>
    <w:rsid w:val="00D93A07"/>
    <w:rsid w:val="00D97217"/>
    <w:rsid w:val="00D97349"/>
    <w:rsid w:val="00D97844"/>
    <w:rsid w:val="00DA1F22"/>
    <w:rsid w:val="00DA305E"/>
    <w:rsid w:val="00DA334D"/>
    <w:rsid w:val="00DA45B7"/>
    <w:rsid w:val="00DA5417"/>
    <w:rsid w:val="00DA56E8"/>
    <w:rsid w:val="00DA64AC"/>
    <w:rsid w:val="00DA74A0"/>
    <w:rsid w:val="00DB0A9F"/>
    <w:rsid w:val="00DB377D"/>
    <w:rsid w:val="00DB5394"/>
    <w:rsid w:val="00DC2D36"/>
    <w:rsid w:val="00DC53EF"/>
    <w:rsid w:val="00DC57A2"/>
    <w:rsid w:val="00DC64EC"/>
    <w:rsid w:val="00DC726D"/>
    <w:rsid w:val="00DC7D91"/>
    <w:rsid w:val="00DD1244"/>
    <w:rsid w:val="00DD1852"/>
    <w:rsid w:val="00DD1BFC"/>
    <w:rsid w:val="00DD3B51"/>
    <w:rsid w:val="00DD4718"/>
    <w:rsid w:val="00DD5D6D"/>
    <w:rsid w:val="00DE2001"/>
    <w:rsid w:val="00DE54CF"/>
    <w:rsid w:val="00DE5608"/>
    <w:rsid w:val="00DE58D0"/>
    <w:rsid w:val="00DE654F"/>
    <w:rsid w:val="00DE6DB2"/>
    <w:rsid w:val="00DE7F47"/>
    <w:rsid w:val="00DF0B6E"/>
    <w:rsid w:val="00DF15E0"/>
    <w:rsid w:val="00DF1CE4"/>
    <w:rsid w:val="00DF37A0"/>
    <w:rsid w:val="00DF4B0B"/>
    <w:rsid w:val="00DF50CA"/>
    <w:rsid w:val="00E01FE2"/>
    <w:rsid w:val="00E04532"/>
    <w:rsid w:val="00E051BA"/>
    <w:rsid w:val="00E05793"/>
    <w:rsid w:val="00E0651D"/>
    <w:rsid w:val="00E06C07"/>
    <w:rsid w:val="00E110E7"/>
    <w:rsid w:val="00E11B20"/>
    <w:rsid w:val="00E12186"/>
    <w:rsid w:val="00E12CAB"/>
    <w:rsid w:val="00E15F17"/>
    <w:rsid w:val="00E16693"/>
    <w:rsid w:val="00E16883"/>
    <w:rsid w:val="00E173F3"/>
    <w:rsid w:val="00E17FA2"/>
    <w:rsid w:val="00E20C86"/>
    <w:rsid w:val="00E21BDB"/>
    <w:rsid w:val="00E22330"/>
    <w:rsid w:val="00E22723"/>
    <w:rsid w:val="00E25D62"/>
    <w:rsid w:val="00E267B5"/>
    <w:rsid w:val="00E30B5A"/>
    <w:rsid w:val="00E3123D"/>
    <w:rsid w:val="00E31461"/>
    <w:rsid w:val="00E31D43"/>
    <w:rsid w:val="00E325A2"/>
    <w:rsid w:val="00E32608"/>
    <w:rsid w:val="00E33317"/>
    <w:rsid w:val="00E34188"/>
    <w:rsid w:val="00E34298"/>
    <w:rsid w:val="00E34B38"/>
    <w:rsid w:val="00E34B6E"/>
    <w:rsid w:val="00E35559"/>
    <w:rsid w:val="00E3723A"/>
    <w:rsid w:val="00E37860"/>
    <w:rsid w:val="00E40684"/>
    <w:rsid w:val="00E446F1"/>
    <w:rsid w:val="00E44776"/>
    <w:rsid w:val="00E45E24"/>
    <w:rsid w:val="00E46886"/>
    <w:rsid w:val="00E47AEF"/>
    <w:rsid w:val="00E47DAC"/>
    <w:rsid w:val="00E502F4"/>
    <w:rsid w:val="00E503FE"/>
    <w:rsid w:val="00E52EA5"/>
    <w:rsid w:val="00E53B75"/>
    <w:rsid w:val="00E54E3B"/>
    <w:rsid w:val="00E57565"/>
    <w:rsid w:val="00E60D33"/>
    <w:rsid w:val="00E62BE1"/>
    <w:rsid w:val="00E63838"/>
    <w:rsid w:val="00E63990"/>
    <w:rsid w:val="00E64434"/>
    <w:rsid w:val="00E656C6"/>
    <w:rsid w:val="00E67C51"/>
    <w:rsid w:val="00E70C4B"/>
    <w:rsid w:val="00E72998"/>
    <w:rsid w:val="00E72EFC"/>
    <w:rsid w:val="00E758EC"/>
    <w:rsid w:val="00E75E6B"/>
    <w:rsid w:val="00E777D7"/>
    <w:rsid w:val="00E77B28"/>
    <w:rsid w:val="00E812CC"/>
    <w:rsid w:val="00E8234C"/>
    <w:rsid w:val="00E83AA9"/>
    <w:rsid w:val="00E845CB"/>
    <w:rsid w:val="00E846CC"/>
    <w:rsid w:val="00E85928"/>
    <w:rsid w:val="00E85ECE"/>
    <w:rsid w:val="00E87822"/>
    <w:rsid w:val="00E90395"/>
    <w:rsid w:val="00E90E49"/>
    <w:rsid w:val="00E90EB2"/>
    <w:rsid w:val="00E917F9"/>
    <w:rsid w:val="00E9291C"/>
    <w:rsid w:val="00E93D1B"/>
    <w:rsid w:val="00E93FFE"/>
    <w:rsid w:val="00E941C7"/>
    <w:rsid w:val="00E94F8A"/>
    <w:rsid w:val="00E96351"/>
    <w:rsid w:val="00E9684B"/>
    <w:rsid w:val="00EA0A0A"/>
    <w:rsid w:val="00EA1D4A"/>
    <w:rsid w:val="00EA215E"/>
    <w:rsid w:val="00EA2977"/>
    <w:rsid w:val="00EA4DA8"/>
    <w:rsid w:val="00EA7A41"/>
    <w:rsid w:val="00EB077B"/>
    <w:rsid w:val="00EB1074"/>
    <w:rsid w:val="00EB1D0D"/>
    <w:rsid w:val="00EB470B"/>
    <w:rsid w:val="00EB4EA2"/>
    <w:rsid w:val="00EB5935"/>
    <w:rsid w:val="00EB5968"/>
    <w:rsid w:val="00EB7763"/>
    <w:rsid w:val="00EB7AED"/>
    <w:rsid w:val="00EC07D0"/>
    <w:rsid w:val="00EC0FFA"/>
    <w:rsid w:val="00EC17BF"/>
    <w:rsid w:val="00EC24D5"/>
    <w:rsid w:val="00EC26CA"/>
    <w:rsid w:val="00EC27C6"/>
    <w:rsid w:val="00EC2E03"/>
    <w:rsid w:val="00EC4207"/>
    <w:rsid w:val="00EC42EC"/>
    <w:rsid w:val="00EC51B0"/>
    <w:rsid w:val="00EC5278"/>
    <w:rsid w:val="00EC5653"/>
    <w:rsid w:val="00EC71CE"/>
    <w:rsid w:val="00ED03C8"/>
    <w:rsid w:val="00ED1006"/>
    <w:rsid w:val="00ED23FE"/>
    <w:rsid w:val="00ED5F13"/>
    <w:rsid w:val="00ED7128"/>
    <w:rsid w:val="00EE0406"/>
    <w:rsid w:val="00EE06F1"/>
    <w:rsid w:val="00EE3B7C"/>
    <w:rsid w:val="00EE4623"/>
    <w:rsid w:val="00EE619E"/>
    <w:rsid w:val="00EF0A26"/>
    <w:rsid w:val="00EF18FE"/>
    <w:rsid w:val="00EF1D18"/>
    <w:rsid w:val="00EF243E"/>
    <w:rsid w:val="00EF2F40"/>
    <w:rsid w:val="00EF53C6"/>
    <w:rsid w:val="00EF5787"/>
    <w:rsid w:val="00EF5CCD"/>
    <w:rsid w:val="00EF60D0"/>
    <w:rsid w:val="00F00208"/>
    <w:rsid w:val="00F00613"/>
    <w:rsid w:val="00F007B8"/>
    <w:rsid w:val="00F025B3"/>
    <w:rsid w:val="00F026D7"/>
    <w:rsid w:val="00F02D41"/>
    <w:rsid w:val="00F04295"/>
    <w:rsid w:val="00F0528D"/>
    <w:rsid w:val="00F05A82"/>
    <w:rsid w:val="00F06C67"/>
    <w:rsid w:val="00F06DFD"/>
    <w:rsid w:val="00F071D1"/>
    <w:rsid w:val="00F07533"/>
    <w:rsid w:val="00F0757C"/>
    <w:rsid w:val="00F10629"/>
    <w:rsid w:val="00F11FA7"/>
    <w:rsid w:val="00F15FA5"/>
    <w:rsid w:val="00F162D9"/>
    <w:rsid w:val="00F16467"/>
    <w:rsid w:val="00F16EA7"/>
    <w:rsid w:val="00F17964"/>
    <w:rsid w:val="00F209B7"/>
    <w:rsid w:val="00F20F5C"/>
    <w:rsid w:val="00F2376F"/>
    <w:rsid w:val="00F243D8"/>
    <w:rsid w:val="00F30828"/>
    <w:rsid w:val="00F313D6"/>
    <w:rsid w:val="00F315DA"/>
    <w:rsid w:val="00F35299"/>
    <w:rsid w:val="00F36266"/>
    <w:rsid w:val="00F3779C"/>
    <w:rsid w:val="00F4039C"/>
    <w:rsid w:val="00F40F0C"/>
    <w:rsid w:val="00F413AF"/>
    <w:rsid w:val="00F42A4F"/>
    <w:rsid w:val="00F436A9"/>
    <w:rsid w:val="00F44BA2"/>
    <w:rsid w:val="00F44D05"/>
    <w:rsid w:val="00F46073"/>
    <w:rsid w:val="00F4766C"/>
    <w:rsid w:val="00F5060E"/>
    <w:rsid w:val="00F507D1"/>
    <w:rsid w:val="00F50E31"/>
    <w:rsid w:val="00F512BB"/>
    <w:rsid w:val="00F516B8"/>
    <w:rsid w:val="00F519CE"/>
    <w:rsid w:val="00F51ADA"/>
    <w:rsid w:val="00F5263E"/>
    <w:rsid w:val="00F530E4"/>
    <w:rsid w:val="00F5507D"/>
    <w:rsid w:val="00F56610"/>
    <w:rsid w:val="00F56E0B"/>
    <w:rsid w:val="00F60203"/>
    <w:rsid w:val="00F607C5"/>
    <w:rsid w:val="00F60DEA"/>
    <w:rsid w:val="00F610BD"/>
    <w:rsid w:val="00F61FBC"/>
    <w:rsid w:val="00F6302A"/>
    <w:rsid w:val="00F63950"/>
    <w:rsid w:val="00F64923"/>
    <w:rsid w:val="00F64C2B"/>
    <w:rsid w:val="00F651BE"/>
    <w:rsid w:val="00F6595C"/>
    <w:rsid w:val="00F65AC1"/>
    <w:rsid w:val="00F677C5"/>
    <w:rsid w:val="00F67C0B"/>
    <w:rsid w:val="00F67F53"/>
    <w:rsid w:val="00F703BE"/>
    <w:rsid w:val="00F71F69"/>
    <w:rsid w:val="00F72B72"/>
    <w:rsid w:val="00F7437D"/>
    <w:rsid w:val="00F74BB9"/>
    <w:rsid w:val="00F75582"/>
    <w:rsid w:val="00F756B5"/>
    <w:rsid w:val="00F765C2"/>
    <w:rsid w:val="00F76EFA"/>
    <w:rsid w:val="00F77C77"/>
    <w:rsid w:val="00F77E01"/>
    <w:rsid w:val="00F804BE"/>
    <w:rsid w:val="00F8071D"/>
    <w:rsid w:val="00F817CE"/>
    <w:rsid w:val="00F8456C"/>
    <w:rsid w:val="00F84CC5"/>
    <w:rsid w:val="00F8580C"/>
    <w:rsid w:val="00F859D8"/>
    <w:rsid w:val="00F865C0"/>
    <w:rsid w:val="00F868F5"/>
    <w:rsid w:val="00F87E2B"/>
    <w:rsid w:val="00F9056A"/>
    <w:rsid w:val="00F90F8D"/>
    <w:rsid w:val="00F92782"/>
    <w:rsid w:val="00F93AA9"/>
    <w:rsid w:val="00F959A1"/>
    <w:rsid w:val="00F96985"/>
    <w:rsid w:val="00F96EF2"/>
    <w:rsid w:val="00F97838"/>
    <w:rsid w:val="00FA2646"/>
    <w:rsid w:val="00FA2BB3"/>
    <w:rsid w:val="00FA3240"/>
    <w:rsid w:val="00FA34BF"/>
    <w:rsid w:val="00FA3FF9"/>
    <w:rsid w:val="00FA4285"/>
    <w:rsid w:val="00FA6581"/>
    <w:rsid w:val="00FA7B07"/>
    <w:rsid w:val="00FA7E1B"/>
    <w:rsid w:val="00FA7E47"/>
    <w:rsid w:val="00FB4C80"/>
    <w:rsid w:val="00FB54BE"/>
    <w:rsid w:val="00FB5BCE"/>
    <w:rsid w:val="00FB5C80"/>
    <w:rsid w:val="00FB6A6A"/>
    <w:rsid w:val="00FB6C8A"/>
    <w:rsid w:val="00FB70DD"/>
    <w:rsid w:val="00FB7D65"/>
    <w:rsid w:val="00FC10BF"/>
    <w:rsid w:val="00FC1940"/>
    <w:rsid w:val="00FC3184"/>
    <w:rsid w:val="00FC3636"/>
    <w:rsid w:val="00FC7429"/>
    <w:rsid w:val="00FD07F6"/>
    <w:rsid w:val="00FD1780"/>
    <w:rsid w:val="00FD1EC8"/>
    <w:rsid w:val="00FD47ED"/>
    <w:rsid w:val="00FD4A6A"/>
    <w:rsid w:val="00FD731D"/>
    <w:rsid w:val="00FD74DB"/>
    <w:rsid w:val="00FD7660"/>
    <w:rsid w:val="00FE0655"/>
    <w:rsid w:val="00FE1D83"/>
    <w:rsid w:val="00FE1EC1"/>
    <w:rsid w:val="00FE2365"/>
    <w:rsid w:val="00FE2459"/>
    <w:rsid w:val="00FE37D7"/>
    <w:rsid w:val="00FE3C1E"/>
    <w:rsid w:val="00FE4781"/>
    <w:rsid w:val="00FE4C7B"/>
    <w:rsid w:val="00FE7336"/>
    <w:rsid w:val="00FE787C"/>
    <w:rsid w:val="00FE7BDD"/>
    <w:rsid w:val="00FE7ECB"/>
    <w:rsid w:val="00FF14E1"/>
    <w:rsid w:val="00FF179E"/>
    <w:rsid w:val="00FF17D2"/>
    <w:rsid w:val="00FF45A5"/>
    <w:rsid w:val="00FF5247"/>
    <w:rsid w:val="00FF5A2B"/>
    <w:rsid w:val="00FF5B9B"/>
    <w:rsid w:val="00FF5C91"/>
    <w:rsid w:val="00FF7C91"/>
    <w:rsid w:val="0D5B23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36185E6A-D0F3-4AAB-835D-C8EED0929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tabs>
        <w:tab w:val="left" w:pos="1619"/>
      </w:tabs>
      <w:overflowPunct/>
      <w:autoSpaceDE/>
      <w:autoSpaceDN/>
      <w:adjustRightInd/>
      <w:spacing w:before="60" w:after="0" w:line="256" w:lineRule="auto"/>
      <w:ind w:left="1619" w:hanging="360"/>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Doc-title">
    <w:name w:val="Doc-title"/>
    <w:basedOn w:val="Normal"/>
    <w:next w:val="Doc-text2"/>
    <w:link w:val="Doc-titleChar"/>
    <w:qFormat/>
    <w:rsid w:val="00FA7B0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A7B07"/>
    <w:rPr>
      <w:rFonts w:ascii="Arial" w:eastAsia="MS Mincho" w:hAnsi="Arial"/>
      <w:noProof/>
      <w:szCs w:val="24"/>
    </w:rPr>
  </w:style>
  <w:style w:type="character" w:styleId="Mention">
    <w:name w:val="Mention"/>
    <w:basedOn w:val="DefaultParagraphFont"/>
    <w:uiPriority w:val="99"/>
    <w:unhideWhenUsed/>
    <w:rsid w:val="00C77A70"/>
    <w:rPr>
      <w:color w:val="2B579A"/>
      <w:shd w:val="clear" w:color="auto" w:fill="E1DFDD"/>
    </w:rPr>
  </w:style>
  <w:style w:type="character" w:customStyle="1" w:styleId="TFZchn">
    <w:name w:val="TF Zchn"/>
    <w:qFormat/>
    <w:rsid w:val="00C77A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0DCA2-8454-4973-9158-9F8D293FA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A9F6C88-95AD-4308-8B3A-AA1537DF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8</TotalTime>
  <Pages>12</Pages>
  <Words>5743</Words>
  <Characters>30438</Characters>
  <Application>Microsoft Office Word</Application>
  <DocSecurity>0</DocSecurity>
  <Lines>253</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36109</CharactersWithSpaces>
  <SharedDoc>false</SharedDoc>
  <HLinks>
    <vt:vector size="192" baseType="variant">
      <vt:variant>
        <vt:i4>1376314</vt:i4>
      </vt:variant>
      <vt:variant>
        <vt:i4>113</vt:i4>
      </vt:variant>
      <vt:variant>
        <vt:i4>0</vt:i4>
      </vt:variant>
      <vt:variant>
        <vt:i4>5</vt:i4>
      </vt:variant>
      <vt:variant>
        <vt:lpwstr/>
      </vt:variant>
      <vt:variant>
        <vt:lpwstr>_Toc54279041</vt:lpwstr>
      </vt:variant>
      <vt:variant>
        <vt:i4>1310778</vt:i4>
      </vt:variant>
      <vt:variant>
        <vt:i4>110</vt:i4>
      </vt:variant>
      <vt:variant>
        <vt:i4>0</vt:i4>
      </vt:variant>
      <vt:variant>
        <vt:i4>5</vt:i4>
      </vt:variant>
      <vt:variant>
        <vt:lpwstr/>
      </vt:variant>
      <vt:variant>
        <vt:lpwstr>_Toc54279040</vt:lpwstr>
      </vt:variant>
      <vt:variant>
        <vt:i4>1900605</vt:i4>
      </vt:variant>
      <vt:variant>
        <vt:i4>107</vt:i4>
      </vt:variant>
      <vt:variant>
        <vt:i4>0</vt:i4>
      </vt:variant>
      <vt:variant>
        <vt:i4>5</vt:i4>
      </vt:variant>
      <vt:variant>
        <vt:lpwstr/>
      </vt:variant>
      <vt:variant>
        <vt:lpwstr>_Toc54279039</vt:lpwstr>
      </vt:variant>
      <vt:variant>
        <vt:i4>1835069</vt:i4>
      </vt:variant>
      <vt:variant>
        <vt:i4>104</vt:i4>
      </vt:variant>
      <vt:variant>
        <vt:i4>0</vt:i4>
      </vt:variant>
      <vt:variant>
        <vt:i4>5</vt:i4>
      </vt:variant>
      <vt:variant>
        <vt:lpwstr/>
      </vt:variant>
      <vt:variant>
        <vt:lpwstr>_Toc54279038</vt:lpwstr>
      </vt:variant>
      <vt:variant>
        <vt:i4>1245245</vt:i4>
      </vt:variant>
      <vt:variant>
        <vt:i4>101</vt:i4>
      </vt:variant>
      <vt:variant>
        <vt:i4>0</vt:i4>
      </vt:variant>
      <vt:variant>
        <vt:i4>5</vt:i4>
      </vt:variant>
      <vt:variant>
        <vt:lpwstr/>
      </vt:variant>
      <vt:variant>
        <vt:lpwstr>_Toc54279037</vt:lpwstr>
      </vt:variant>
      <vt:variant>
        <vt:i4>1179709</vt:i4>
      </vt:variant>
      <vt:variant>
        <vt:i4>98</vt:i4>
      </vt:variant>
      <vt:variant>
        <vt:i4>0</vt:i4>
      </vt:variant>
      <vt:variant>
        <vt:i4>5</vt:i4>
      </vt:variant>
      <vt:variant>
        <vt:lpwstr/>
      </vt:variant>
      <vt:variant>
        <vt:lpwstr>_Toc54279036</vt:lpwstr>
      </vt:variant>
      <vt:variant>
        <vt:i4>1114173</vt:i4>
      </vt:variant>
      <vt:variant>
        <vt:i4>95</vt:i4>
      </vt:variant>
      <vt:variant>
        <vt:i4>0</vt:i4>
      </vt:variant>
      <vt:variant>
        <vt:i4>5</vt:i4>
      </vt:variant>
      <vt:variant>
        <vt:lpwstr/>
      </vt:variant>
      <vt:variant>
        <vt:lpwstr>_Toc54279035</vt:lpwstr>
      </vt:variant>
      <vt:variant>
        <vt:i4>1048637</vt:i4>
      </vt:variant>
      <vt:variant>
        <vt:i4>92</vt:i4>
      </vt:variant>
      <vt:variant>
        <vt:i4>0</vt:i4>
      </vt:variant>
      <vt:variant>
        <vt:i4>5</vt:i4>
      </vt:variant>
      <vt:variant>
        <vt:lpwstr/>
      </vt:variant>
      <vt:variant>
        <vt:lpwstr>_Toc54279034</vt:lpwstr>
      </vt:variant>
      <vt:variant>
        <vt:i4>1507389</vt:i4>
      </vt:variant>
      <vt:variant>
        <vt:i4>89</vt:i4>
      </vt:variant>
      <vt:variant>
        <vt:i4>0</vt:i4>
      </vt:variant>
      <vt:variant>
        <vt:i4>5</vt:i4>
      </vt:variant>
      <vt:variant>
        <vt:lpwstr/>
      </vt:variant>
      <vt:variant>
        <vt:lpwstr>_Toc54279033</vt:lpwstr>
      </vt:variant>
      <vt:variant>
        <vt:i4>1441853</vt:i4>
      </vt:variant>
      <vt:variant>
        <vt:i4>86</vt:i4>
      </vt:variant>
      <vt:variant>
        <vt:i4>0</vt:i4>
      </vt:variant>
      <vt:variant>
        <vt:i4>5</vt:i4>
      </vt:variant>
      <vt:variant>
        <vt:lpwstr/>
      </vt:variant>
      <vt:variant>
        <vt:lpwstr>_Toc54279032</vt:lpwstr>
      </vt:variant>
      <vt:variant>
        <vt:i4>1376317</vt:i4>
      </vt:variant>
      <vt:variant>
        <vt:i4>83</vt:i4>
      </vt:variant>
      <vt:variant>
        <vt:i4>0</vt:i4>
      </vt:variant>
      <vt:variant>
        <vt:i4>5</vt:i4>
      </vt:variant>
      <vt:variant>
        <vt:lpwstr/>
      </vt:variant>
      <vt:variant>
        <vt:lpwstr>_Toc54279031</vt:lpwstr>
      </vt:variant>
      <vt:variant>
        <vt:i4>1310781</vt:i4>
      </vt:variant>
      <vt:variant>
        <vt:i4>80</vt:i4>
      </vt:variant>
      <vt:variant>
        <vt:i4>0</vt:i4>
      </vt:variant>
      <vt:variant>
        <vt:i4>5</vt:i4>
      </vt:variant>
      <vt:variant>
        <vt:lpwstr/>
      </vt:variant>
      <vt:variant>
        <vt:lpwstr>_Toc54279030</vt:lpwstr>
      </vt:variant>
      <vt:variant>
        <vt:i4>1900604</vt:i4>
      </vt:variant>
      <vt:variant>
        <vt:i4>74</vt:i4>
      </vt:variant>
      <vt:variant>
        <vt:i4>0</vt:i4>
      </vt:variant>
      <vt:variant>
        <vt:i4>5</vt:i4>
      </vt:variant>
      <vt:variant>
        <vt:lpwstr/>
      </vt:variant>
      <vt:variant>
        <vt:lpwstr>_Toc54279029</vt:lpwstr>
      </vt:variant>
      <vt:variant>
        <vt:i4>1835068</vt:i4>
      </vt:variant>
      <vt:variant>
        <vt:i4>71</vt:i4>
      </vt:variant>
      <vt:variant>
        <vt:i4>0</vt:i4>
      </vt:variant>
      <vt:variant>
        <vt:i4>5</vt:i4>
      </vt:variant>
      <vt:variant>
        <vt:lpwstr/>
      </vt:variant>
      <vt:variant>
        <vt:lpwstr>_Toc54279028</vt:lpwstr>
      </vt:variant>
      <vt:variant>
        <vt:i4>1245244</vt:i4>
      </vt:variant>
      <vt:variant>
        <vt:i4>68</vt:i4>
      </vt:variant>
      <vt:variant>
        <vt:i4>0</vt:i4>
      </vt:variant>
      <vt:variant>
        <vt:i4>5</vt:i4>
      </vt:variant>
      <vt:variant>
        <vt:lpwstr/>
      </vt:variant>
      <vt:variant>
        <vt:lpwstr>_Toc54279027</vt:lpwstr>
      </vt:variant>
      <vt:variant>
        <vt:i4>1179708</vt:i4>
      </vt:variant>
      <vt:variant>
        <vt:i4>65</vt:i4>
      </vt:variant>
      <vt:variant>
        <vt:i4>0</vt:i4>
      </vt:variant>
      <vt:variant>
        <vt:i4>5</vt:i4>
      </vt:variant>
      <vt:variant>
        <vt:lpwstr/>
      </vt:variant>
      <vt:variant>
        <vt:lpwstr>_Toc54279026</vt:lpwstr>
      </vt:variant>
      <vt:variant>
        <vt:i4>1114172</vt:i4>
      </vt:variant>
      <vt:variant>
        <vt:i4>62</vt:i4>
      </vt:variant>
      <vt:variant>
        <vt:i4>0</vt:i4>
      </vt:variant>
      <vt:variant>
        <vt:i4>5</vt:i4>
      </vt:variant>
      <vt:variant>
        <vt:lpwstr/>
      </vt:variant>
      <vt:variant>
        <vt:lpwstr>_Toc54279025</vt:lpwstr>
      </vt:variant>
      <vt:variant>
        <vt:i4>1048636</vt:i4>
      </vt:variant>
      <vt:variant>
        <vt:i4>59</vt:i4>
      </vt:variant>
      <vt:variant>
        <vt:i4>0</vt:i4>
      </vt:variant>
      <vt:variant>
        <vt:i4>5</vt:i4>
      </vt:variant>
      <vt:variant>
        <vt:lpwstr/>
      </vt:variant>
      <vt:variant>
        <vt:lpwstr>_Toc54279024</vt:lpwstr>
      </vt:variant>
      <vt:variant>
        <vt:i4>1507388</vt:i4>
      </vt:variant>
      <vt:variant>
        <vt:i4>56</vt:i4>
      </vt:variant>
      <vt:variant>
        <vt:i4>0</vt:i4>
      </vt:variant>
      <vt:variant>
        <vt:i4>5</vt:i4>
      </vt:variant>
      <vt:variant>
        <vt:lpwstr/>
      </vt:variant>
      <vt:variant>
        <vt:lpwstr>_Toc54279023</vt:lpwstr>
      </vt:variant>
      <vt:variant>
        <vt:i4>1441852</vt:i4>
      </vt:variant>
      <vt:variant>
        <vt:i4>53</vt:i4>
      </vt:variant>
      <vt:variant>
        <vt:i4>0</vt:i4>
      </vt:variant>
      <vt:variant>
        <vt:i4>5</vt:i4>
      </vt:variant>
      <vt:variant>
        <vt:lpwstr/>
      </vt:variant>
      <vt:variant>
        <vt:lpwstr>_Toc54279022</vt:lpwstr>
      </vt:variant>
      <vt:variant>
        <vt:i4>1376316</vt:i4>
      </vt:variant>
      <vt:variant>
        <vt:i4>50</vt:i4>
      </vt:variant>
      <vt:variant>
        <vt:i4>0</vt:i4>
      </vt:variant>
      <vt:variant>
        <vt:i4>5</vt:i4>
      </vt:variant>
      <vt:variant>
        <vt:lpwstr/>
      </vt:variant>
      <vt:variant>
        <vt:lpwstr>_Toc54279021</vt:lpwstr>
      </vt:variant>
      <vt:variant>
        <vt:i4>1310780</vt:i4>
      </vt:variant>
      <vt:variant>
        <vt:i4>47</vt:i4>
      </vt:variant>
      <vt:variant>
        <vt:i4>0</vt:i4>
      </vt:variant>
      <vt:variant>
        <vt:i4>5</vt:i4>
      </vt:variant>
      <vt:variant>
        <vt:lpwstr/>
      </vt:variant>
      <vt:variant>
        <vt:lpwstr>_Toc54279020</vt:lpwstr>
      </vt:variant>
      <vt:variant>
        <vt:i4>1900607</vt:i4>
      </vt:variant>
      <vt:variant>
        <vt:i4>44</vt:i4>
      </vt:variant>
      <vt:variant>
        <vt:i4>0</vt:i4>
      </vt:variant>
      <vt:variant>
        <vt:i4>5</vt:i4>
      </vt:variant>
      <vt:variant>
        <vt:lpwstr/>
      </vt:variant>
      <vt:variant>
        <vt:lpwstr>_Toc54279019</vt:lpwstr>
      </vt:variant>
      <vt:variant>
        <vt:i4>1835071</vt:i4>
      </vt:variant>
      <vt:variant>
        <vt:i4>41</vt:i4>
      </vt:variant>
      <vt:variant>
        <vt:i4>0</vt:i4>
      </vt:variant>
      <vt:variant>
        <vt:i4>5</vt:i4>
      </vt:variant>
      <vt:variant>
        <vt:lpwstr/>
      </vt:variant>
      <vt:variant>
        <vt:lpwstr>_Toc54279018</vt:lpwstr>
      </vt:variant>
      <vt:variant>
        <vt:i4>1245247</vt:i4>
      </vt:variant>
      <vt:variant>
        <vt:i4>38</vt:i4>
      </vt:variant>
      <vt:variant>
        <vt:i4>0</vt:i4>
      </vt:variant>
      <vt:variant>
        <vt:i4>5</vt:i4>
      </vt:variant>
      <vt:variant>
        <vt:lpwstr/>
      </vt:variant>
      <vt:variant>
        <vt:lpwstr>_Toc54279017</vt:lpwstr>
      </vt:variant>
      <vt:variant>
        <vt:i4>1179711</vt:i4>
      </vt:variant>
      <vt:variant>
        <vt:i4>35</vt:i4>
      </vt:variant>
      <vt:variant>
        <vt:i4>0</vt:i4>
      </vt:variant>
      <vt:variant>
        <vt:i4>5</vt:i4>
      </vt:variant>
      <vt:variant>
        <vt:lpwstr/>
      </vt:variant>
      <vt:variant>
        <vt:lpwstr>_Toc54279016</vt:lpwstr>
      </vt:variant>
      <vt:variant>
        <vt:i4>1114175</vt:i4>
      </vt:variant>
      <vt:variant>
        <vt:i4>32</vt:i4>
      </vt:variant>
      <vt:variant>
        <vt:i4>0</vt:i4>
      </vt:variant>
      <vt:variant>
        <vt:i4>5</vt:i4>
      </vt:variant>
      <vt:variant>
        <vt:lpwstr/>
      </vt:variant>
      <vt:variant>
        <vt:lpwstr>_Toc54279015</vt:lpwstr>
      </vt:variant>
      <vt:variant>
        <vt:i4>1048639</vt:i4>
      </vt:variant>
      <vt:variant>
        <vt:i4>29</vt:i4>
      </vt:variant>
      <vt:variant>
        <vt:i4>0</vt:i4>
      </vt:variant>
      <vt:variant>
        <vt:i4>5</vt:i4>
      </vt:variant>
      <vt:variant>
        <vt:lpwstr/>
      </vt:variant>
      <vt:variant>
        <vt:lpwstr>_Toc54279014</vt:lpwstr>
      </vt:variant>
      <vt:variant>
        <vt:i4>1507391</vt:i4>
      </vt:variant>
      <vt:variant>
        <vt:i4>26</vt:i4>
      </vt:variant>
      <vt:variant>
        <vt:i4>0</vt:i4>
      </vt:variant>
      <vt:variant>
        <vt:i4>5</vt:i4>
      </vt:variant>
      <vt:variant>
        <vt:lpwstr/>
      </vt:variant>
      <vt:variant>
        <vt:lpwstr>_Toc54279013</vt:lpwstr>
      </vt:variant>
      <vt:variant>
        <vt:i4>1441855</vt:i4>
      </vt:variant>
      <vt:variant>
        <vt:i4>23</vt:i4>
      </vt:variant>
      <vt:variant>
        <vt:i4>0</vt:i4>
      </vt:variant>
      <vt:variant>
        <vt:i4>5</vt:i4>
      </vt:variant>
      <vt:variant>
        <vt:lpwstr/>
      </vt:variant>
      <vt:variant>
        <vt:lpwstr>_Toc54279012</vt:lpwstr>
      </vt:variant>
      <vt:variant>
        <vt:i4>7733300</vt:i4>
      </vt:variant>
      <vt:variant>
        <vt:i4>9</vt:i4>
      </vt:variant>
      <vt:variant>
        <vt:i4>0</vt:i4>
      </vt:variant>
      <vt:variant>
        <vt:i4>5</vt:i4>
      </vt:variant>
      <vt:variant>
        <vt:lpwstr>C:\Users\terhentt\Documents\Tdocs\RAN2\RAN2_112-e\R2-2010734.zip</vt:lpwstr>
      </vt:variant>
      <vt:variant>
        <vt:lpwstr/>
      </vt:variant>
      <vt:variant>
        <vt:i4>7798840</vt:i4>
      </vt:variant>
      <vt:variant>
        <vt:i4>0</vt:i4>
      </vt:variant>
      <vt:variant>
        <vt:i4>0</vt:i4>
      </vt:variant>
      <vt:variant>
        <vt:i4>5</vt:i4>
      </vt:variant>
      <vt:variant>
        <vt:lpwstr>C:\Users\terhentt\Documents\Tdocs\RAN2\RAN2_112-e\R2-2009360.zip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Ericsson2</cp:lastModifiedBy>
  <cp:revision>5</cp:revision>
  <cp:lastPrinted>2020-10-23T01:47:00Z</cp:lastPrinted>
  <dcterms:created xsi:type="dcterms:W3CDTF">2022-02-14T19:56:00Z</dcterms:created>
  <dcterms:modified xsi:type="dcterms:W3CDTF">2022-02-14T20:04:00Z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